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AACD" w14:textId="77777777" w:rsidR="003D73E5" w:rsidRDefault="003D73E5" w:rsidP="008249B2">
      <w:pPr>
        <w:jc w:val="center"/>
        <w:rPr>
          <w:b/>
          <w:lang w:val="it-IT"/>
        </w:rPr>
      </w:pPr>
      <w:r>
        <w:rPr>
          <w:b/>
          <w:lang w:val="it-IT"/>
        </w:rPr>
        <w:t xml:space="preserve">ALLEGATO 4 </w:t>
      </w:r>
    </w:p>
    <w:p w14:paraId="2FC4A35A" w14:textId="26CEA051" w:rsidR="003D73E5" w:rsidRDefault="00762C69" w:rsidP="008249B2">
      <w:pPr>
        <w:jc w:val="center"/>
        <w:rPr>
          <w:b/>
          <w:lang w:val="it-IT"/>
        </w:rPr>
      </w:pPr>
      <w:r w:rsidRPr="008249B2">
        <w:rPr>
          <w:b/>
          <w:lang w:val="it-IT"/>
        </w:rPr>
        <w:t xml:space="preserve">INFORMAZIONI </w:t>
      </w:r>
      <w:r w:rsidR="003D73E5">
        <w:rPr>
          <w:b/>
          <w:lang w:val="it-IT"/>
        </w:rPr>
        <w:t>SULLA DISTRIBUZIONE DEL PRODOTTO ASSICURATIVO NON</w:t>
      </w:r>
      <w:r w:rsidR="006F5576">
        <w:rPr>
          <w:b/>
          <w:lang w:val="it-IT"/>
        </w:rPr>
        <w:t>-</w:t>
      </w:r>
      <w:r w:rsidR="003D73E5">
        <w:rPr>
          <w:b/>
          <w:lang w:val="it-IT"/>
        </w:rPr>
        <w:t>IBIP</w:t>
      </w:r>
    </w:p>
    <w:p w14:paraId="4A6B778B" w14:textId="77777777" w:rsidR="003D73E5" w:rsidRDefault="003D73E5" w:rsidP="008249B2">
      <w:pPr>
        <w:jc w:val="center"/>
        <w:rPr>
          <w:b/>
          <w:lang w:val="it-IT"/>
        </w:rPr>
      </w:pPr>
    </w:p>
    <w:p w14:paraId="57EE2906" w14:textId="441C5226" w:rsidR="00762C69" w:rsidRDefault="003D73E5">
      <w:pPr>
        <w:rPr>
          <w:lang w:val="it-IT"/>
        </w:rPr>
      </w:pPr>
      <w:r w:rsidRPr="003D73E5">
        <w:rPr>
          <w:lang w:val="it-IT"/>
        </w:rPr>
        <w:t xml:space="preserve">Ai sensi della vigente normativa, il distributore ha l'obbligo di consegnare o trasmettere al contraente, prima della sottoscrizione </w:t>
      </w:r>
      <w:r w:rsidRPr="003D73E5">
        <w:rPr>
          <w:b/>
          <w:lang w:val="it-IT"/>
        </w:rPr>
        <w:t>di ciascuna proposta</w:t>
      </w:r>
      <w:r w:rsidRPr="003D73E5">
        <w:rPr>
          <w:lang w:val="it-IT"/>
        </w:rPr>
        <w:t xml:space="preserve"> o, qualora non prevista, </w:t>
      </w:r>
      <w:r w:rsidRPr="003D73E5">
        <w:rPr>
          <w:b/>
          <w:lang w:val="it-IT"/>
        </w:rPr>
        <w:t>di ciascun contratto assicurativo</w:t>
      </w:r>
      <w:r w:rsidRPr="003D73E5">
        <w:rPr>
          <w:lang w:val="it-IT"/>
        </w:rPr>
        <w:t>, il presente documento, che contiene notizie sul modello e l'attività di distribuzione, sulla consulenza fornita e sulle remunerazioni percepite.</w:t>
      </w:r>
    </w:p>
    <w:p w14:paraId="2515FFE5" w14:textId="77777777" w:rsidR="005C5D79" w:rsidRPr="003D73E5" w:rsidRDefault="005C5D79">
      <w:pPr>
        <w:rPr>
          <w:lang w:val="it-IT"/>
        </w:rPr>
      </w:pPr>
    </w:p>
    <w:p w14:paraId="46160C18" w14:textId="407C1DC8" w:rsidR="005C5D79" w:rsidRDefault="009442FD" w:rsidP="005C5D79">
      <w:pPr>
        <w:jc w:val="both"/>
        <w:rPr>
          <w:lang w:val="it-IT"/>
        </w:rPr>
      </w:pPr>
      <w:r>
        <w:rPr>
          <w:lang w:val="it-IT"/>
        </w:rPr>
        <w:t xml:space="preserve">Cognome e Nome: Maestri Nicolò </w:t>
      </w:r>
      <w:proofErr w:type="spellStart"/>
      <w:r w:rsidR="00C043B0">
        <w:rPr>
          <w:lang w:val="it-IT"/>
        </w:rPr>
        <w:t>Sez</w:t>
      </w:r>
      <w:proofErr w:type="spellEnd"/>
      <w:r w:rsidR="00C043B0">
        <w:rPr>
          <w:lang w:val="it-IT"/>
        </w:rPr>
        <w:t xml:space="preserve"> </w:t>
      </w:r>
      <w:proofErr w:type="gramStart"/>
      <w:r w:rsidR="00C043B0">
        <w:rPr>
          <w:lang w:val="it-IT"/>
        </w:rPr>
        <w:t xml:space="preserve">E  </w:t>
      </w:r>
      <w:r>
        <w:rPr>
          <w:lang w:val="it-IT"/>
        </w:rPr>
        <w:t>000541350</w:t>
      </w:r>
      <w:proofErr w:type="gramEnd"/>
    </w:p>
    <w:p w14:paraId="19F0F3AB" w14:textId="37F1C601" w:rsidR="000D2C10" w:rsidRDefault="000D2C10" w:rsidP="005033B7">
      <w:pPr>
        <w:jc w:val="both"/>
        <w:rPr>
          <w:lang w:val="it-IT"/>
        </w:rPr>
      </w:pPr>
    </w:p>
    <w:p w14:paraId="639AEE63" w14:textId="61565627" w:rsidR="00762C69" w:rsidRDefault="00762C69" w:rsidP="005033B7">
      <w:pPr>
        <w:jc w:val="both"/>
        <w:rPr>
          <w:lang w:val="it-IT"/>
        </w:rPr>
      </w:pPr>
    </w:p>
    <w:p w14:paraId="0DCFF447" w14:textId="77777777" w:rsidR="000C4648" w:rsidRDefault="000C4648" w:rsidP="000C4648">
      <w:pPr>
        <w:jc w:val="center"/>
        <w:rPr>
          <w:b/>
          <w:lang w:val="it-IT"/>
        </w:rPr>
      </w:pPr>
      <w:r>
        <w:rPr>
          <w:b/>
          <w:lang w:val="it-IT"/>
        </w:rPr>
        <w:t>PARTE I     -      INTERMEDIARI ASSICURATIVI E RIASSICURATIVI</w:t>
      </w:r>
    </w:p>
    <w:p w14:paraId="4833FF24" w14:textId="77777777" w:rsidR="000C4648" w:rsidRDefault="000C4648" w:rsidP="005033B7">
      <w:pPr>
        <w:jc w:val="both"/>
        <w:rPr>
          <w:lang w:val="it-IT"/>
        </w:rPr>
      </w:pPr>
    </w:p>
    <w:p w14:paraId="49B83EC1" w14:textId="4F7B8215" w:rsidR="00F815BB" w:rsidRPr="002D49E7" w:rsidRDefault="00F815BB" w:rsidP="005033B7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 – Informazioni su</w:t>
      </w:r>
      <w:r w:rsidR="000C4648">
        <w:rPr>
          <w:b/>
          <w:lang w:val="it-IT"/>
        </w:rPr>
        <w:t xml:space="preserve"> modello di distribuzione</w:t>
      </w:r>
      <w:r w:rsidRPr="002D49E7">
        <w:rPr>
          <w:b/>
          <w:lang w:val="it-IT"/>
        </w:rPr>
        <w:t xml:space="preserve"> </w:t>
      </w:r>
    </w:p>
    <w:p w14:paraId="3C4C5671" w14:textId="77777777" w:rsidR="00F815BB" w:rsidRDefault="00F815BB" w:rsidP="005033B7">
      <w:pPr>
        <w:jc w:val="both"/>
        <w:rPr>
          <w:lang w:val="it-IT"/>
        </w:rPr>
      </w:pPr>
    </w:p>
    <w:p w14:paraId="4E23AADC" w14:textId="5C42B43D" w:rsidR="009D63DB" w:rsidRDefault="009D63DB" w:rsidP="009D63DB">
      <w:pPr>
        <w:jc w:val="both"/>
        <w:rPr>
          <w:lang w:val="it-IT"/>
        </w:rPr>
      </w:pPr>
      <w:r>
        <w:rPr>
          <w:lang w:val="it-IT"/>
        </w:rPr>
        <w:t>c)</w:t>
      </w:r>
      <w:r w:rsidR="00836AEC">
        <w:rPr>
          <w:lang w:val="it-IT"/>
        </w:rPr>
        <w:t xml:space="preserve"> </w:t>
      </w:r>
      <w:r>
        <w:rPr>
          <w:lang w:val="it-IT"/>
        </w:rPr>
        <w:t>In qualit</w:t>
      </w:r>
      <w:r w:rsidR="00836AEC">
        <w:rPr>
          <w:lang w:val="it-IT"/>
        </w:rPr>
        <w:t>à di collaboratore dell'Agenzia Centro Assicurativo Pavese srl</w:t>
      </w:r>
      <w:r>
        <w:rPr>
          <w:lang w:val="it-IT"/>
        </w:rPr>
        <w:t xml:space="preserve"> iscritta al RUI n</w:t>
      </w:r>
      <w:r w:rsidR="00836AEC">
        <w:rPr>
          <w:lang w:val="it-IT"/>
        </w:rPr>
        <w:t>r.A000183864 i</w:t>
      </w:r>
      <w:r>
        <w:rPr>
          <w:lang w:val="it-IT"/>
        </w:rPr>
        <w:t xml:space="preserve">n </w:t>
      </w:r>
      <w:r w:rsidR="00836AEC">
        <w:rPr>
          <w:lang w:val="it-IT"/>
        </w:rPr>
        <w:t>data 11/05/2007</w:t>
      </w:r>
    </w:p>
    <w:p w14:paraId="495E945C" w14:textId="1D3E2CF9" w:rsidR="009D63DB" w:rsidRDefault="00836AEC" w:rsidP="009D63DB">
      <w:pPr>
        <w:jc w:val="both"/>
        <w:rPr>
          <w:lang w:val="it-IT"/>
        </w:rPr>
      </w:pPr>
      <w:r>
        <w:rPr>
          <w:lang w:val="it-IT"/>
        </w:rPr>
        <w:t xml:space="preserve">Sede Legale: Pavia via Giuseppe Marchesi 33 </w:t>
      </w:r>
    </w:p>
    <w:p w14:paraId="040A64C8" w14:textId="3EB310C5" w:rsidR="00F14885" w:rsidRDefault="00F14885" w:rsidP="005033B7">
      <w:pPr>
        <w:jc w:val="both"/>
        <w:rPr>
          <w:lang w:val="it-IT"/>
        </w:rPr>
      </w:pPr>
    </w:p>
    <w:p w14:paraId="082B5EE2" w14:textId="77777777" w:rsidR="00901B10" w:rsidRDefault="00901B10" w:rsidP="00901B10">
      <w:pPr>
        <w:jc w:val="both"/>
        <w:rPr>
          <w:lang w:val="it-IT"/>
        </w:rPr>
      </w:pPr>
    </w:p>
    <w:p w14:paraId="3CCC4455" w14:textId="2FFE2A2A" w:rsidR="00901B10" w:rsidRPr="002D49E7" w:rsidRDefault="00901B10" w:rsidP="00901B10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</w:t>
      </w:r>
      <w:r>
        <w:rPr>
          <w:b/>
          <w:lang w:val="it-IT"/>
        </w:rPr>
        <w:t>I</w:t>
      </w:r>
      <w:r w:rsidRPr="002D49E7">
        <w:rPr>
          <w:b/>
          <w:lang w:val="it-IT"/>
        </w:rPr>
        <w:t xml:space="preserve"> – Informazioni su</w:t>
      </w:r>
      <w:r>
        <w:rPr>
          <w:b/>
          <w:lang w:val="it-IT"/>
        </w:rPr>
        <w:t xml:space="preserve">ll'attività di distribuzione </w:t>
      </w:r>
      <w:r w:rsidRPr="002D49E7">
        <w:rPr>
          <w:b/>
          <w:lang w:val="it-IT"/>
        </w:rPr>
        <w:t xml:space="preserve"> </w:t>
      </w:r>
    </w:p>
    <w:p w14:paraId="37643174" w14:textId="77777777" w:rsidR="00901B10" w:rsidRDefault="00901B10" w:rsidP="00901B10">
      <w:pPr>
        <w:ind w:left="360"/>
        <w:jc w:val="both"/>
        <w:rPr>
          <w:lang w:val="it-IT"/>
        </w:rPr>
      </w:pPr>
    </w:p>
    <w:p w14:paraId="1628D4D3" w14:textId="17FC8F0E" w:rsidR="00901B10" w:rsidRPr="003E2315" w:rsidRDefault="00901B10" w:rsidP="00901B10">
      <w:pPr>
        <w:jc w:val="both"/>
        <w:rPr>
          <w:lang w:val="it-IT"/>
        </w:rPr>
      </w:pPr>
      <w:r>
        <w:rPr>
          <w:lang w:val="it-IT"/>
        </w:rPr>
        <w:t>Con riguardo al contratto proposto l'Intermediario:</w:t>
      </w:r>
    </w:p>
    <w:p w14:paraId="37795BC0" w14:textId="76C7CCF5" w:rsidR="00901B10" w:rsidRDefault="00033D96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>fornisce</w:t>
      </w:r>
      <w:proofErr w:type="gramEnd"/>
      <w:r w:rsidR="00103E13">
        <w:rPr>
          <w:lang w:val="it-IT"/>
        </w:rPr>
        <w:t xml:space="preserve"> </w:t>
      </w:r>
      <w:r w:rsidR="00901B10">
        <w:rPr>
          <w:lang w:val="it-IT"/>
        </w:rPr>
        <w:t>una con</w:t>
      </w:r>
      <w:r w:rsidR="00901B10" w:rsidRPr="00637EF3">
        <w:rPr>
          <w:lang w:val="it-IT"/>
        </w:rPr>
        <w:t>sulenza basata su un</w:t>
      </w:r>
      <w:r w:rsidR="00BE2C98">
        <w:rPr>
          <w:lang w:val="it-IT"/>
        </w:rPr>
        <w:t>'analisi imparziale e personale ai sensi</w:t>
      </w:r>
      <w:r w:rsidR="00BE2C98" w:rsidRPr="00BE2C98">
        <w:rPr>
          <w:lang w:val="it-IT"/>
        </w:rPr>
        <w:t xml:space="preserve"> </w:t>
      </w:r>
      <w:r w:rsidR="00BE2C98">
        <w:rPr>
          <w:lang w:val="it-IT"/>
        </w:rPr>
        <w:t xml:space="preserve">dell'articolo 119-Ter comma 4 del </w:t>
      </w:r>
      <w:proofErr w:type="spellStart"/>
      <w:r w:rsidR="00CF7EB5">
        <w:rPr>
          <w:lang w:val="it-IT"/>
        </w:rPr>
        <w:t>del</w:t>
      </w:r>
      <w:proofErr w:type="spellEnd"/>
      <w:r w:rsidR="00CF7EB5">
        <w:rPr>
          <w:lang w:val="it-IT"/>
        </w:rPr>
        <w:t xml:space="preserve"> Codice delle Assicurazioni Private ("CAP")</w:t>
      </w:r>
      <w:r w:rsidR="00BE2C98">
        <w:rPr>
          <w:lang w:val="it-IT"/>
        </w:rPr>
        <w:t>,</w:t>
      </w:r>
      <w:r w:rsidR="00CF7EB5">
        <w:rPr>
          <w:lang w:val="it-IT"/>
        </w:rPr>
        <w:t xml:space="preserve"> </w:t>
      </w:r>
      <w:r w:rsidR="00213AE4">
        <w:rPr>
          <w:lang w:val="it-IT"/>
        </w:rPr>
        <w:t xml:space="preserve">in quanto fondata sull'analisi di un numero sufficiente di prodotti assicurativi disponibili sul mercato che gli consenta di formulare una raccomandazione personalizzata secondo criteri professionali in merito al prodotto adeguato a soddisfare le esigenze del Cliente </w:t>
      </w:r>
    </w:p>
    <w:p w14:paraId="7B35E1CD" w14:textId="1AC114DA" w:rsidR="005A2618" w:rsidRDefault="000D660E" w:rsidP="00836AEC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742A282B" w14:textId="48A5E320" w:rsidR="00033D96" w:rsidRPr="00DC68A3" w:rsidRDefault="00D45373" w:rsidP="00DC68A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D45373">
        <w:rPr>
          <w:lang w:val="it-IT"/>
        </w:rPr>
        <w:t>dichiara di proporre contratti in assenza di obblighi contrattuali</w:t>
      </w:r>
      <w:r w:rsidR="00346B34">
        <w:rPr>
          <w:lang w:val="it-IT"/>
        </w:rPr>
        <w:t xml:space="preserve"> di esclusiva,</w:t>
      </w:r>
      <w:r w:rsidRPr="00D45373">
        <w:rPr>
          <w:lang w:val="it-IT"/>
        </w:rPr>
        <w:t xml:space="preserve"> che gli impongono di offrire esclusivamente i contratti di una o più imprese di assicurazione con le quali l'intermediario ha o potrebbe avere rapporti d'affari</w:t>
      </w:r>
      <w:bookmarkStart w:id="0" w:name="_GoBack"/>
      <w:bookmarkEnd w:id="0"/>
    </w:p>
    <w:p w14:paraId="20677652" w14:textId="77777777" w:rsidR="00645FD4" w:rsidRDefault="00645FD4" w:rsidP="002D49E7">
      <w:pPr>
        <w:jc w:val="both"/>
        <w:rPr>
          <w:b/>
          <w:lang w:val="it-IT"/>
        </w:rPr>
      </w:pPr>
    </w:p>
    <w:p w14:paraId="28A3B5DC" w14:textId="6885F063" w:rsidR="00AA3A31" w:rsidRPr="00033D96" w:rsidRDefault="00253445" w:rsidP="002D49E7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III – Informazioni relative alle remunerazioni</w:t>
      </w:r>
    </w:p>
    <w:p w14:paraId="37FD21CF" w14:textId="5FD60E6D" w:rsidR="00CC5071" w:rsidRPr="00033D96" w:rsidRDefault="00ED6AE8" w:rsidP="00033D96">
      <w:pPr>
        <w:pStyle w:val="Paragrafoelenco"/>
        <w:numPr>
          <w:ilvl w:val="0"/>
          <w:numId w:val="5"/>
        </w:numPr>
        <w:jc w:val="both"/>
        <w:rPr>
          <w:lang w:val="it-IT"/>
        </w:rPr>
      </w:pPr>
      <w:proofErr w:type="gramStart"/>
      <w:r>
        <w:rPr>
          <w:lang w:val="it-IT"/>
        </w:rPr>
        <w:t>il</w:t>
      </w:r>
      <w:proofErr w:type="gramEnd"/>
      <w:r>
        <w:rPr>
          <w:lang w:val="it-IT"/>
        </w:rPr>
        <w:t xml:space="preserve"> compenso percepito dal</w:t>
      </w:r>
      <w:r w:rsidR="00AA3A31">
        <w:rPr>
          <w:lang w:val="it-IT"/>
        </w:rPr>
        <w:t xml:space="preserve">l'intermediario consiste in una </w:t>
      </w:r>
      <w:r w:rsidR="00763D3B">
        <w:rPr>
          <w:lang w:val="it-IT"/>
        </w:rPr>
        <w:t>commissione</w:t>
      </w:r>
      <w:r w:rsidR="00AA3A31">
        <w:rPr>
          <w:lang w:val="it-IT"/>
        </w:rPr>
        <w:t xml:space="preserve"> inclusa nel premio assicurativo e liquidata dall'impresa</w:t>
      </w:r>
      <w:r w:rsidR="007F4777">
        <w:rPr>
          <w:lang w:val="it-IT"/>
        </w:rPr>
        <w:t xml:space="preserve"> per cui è svolta l'attività</w:t>
      </w:r>
      <w:r w:rsidR="003A2714">
        <w:rPr>
          <w:lang w:val="it-IT"/>
        </w:rPr>
        <w:t>;</w:t>
      </w:r>
    </w:p>
    <w:tbl>
      <w:tblPr>
        <w:tblW w:w="5000" w:type="pct"/>
        <w:jc w:val="center"/>
        <w:tblBorders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4"/>
        <w:gridCol w:w="6064"/>
        <w:gridCol w:w="1780"/>
      </w:tblGrid>
      <w:tr w:rsidR="00CC5071" w:rsidRPr="00CC5071" w14:paraId="7C11A4B0" w14:textId="77777777" w:rsidTr="00BA58A6">
        <w:trPr>
          <w:trHeight w:val="20"/>
          <w:jc w:val="center"/>
        </w:trPr>
        <w:tc>
          <w:tcPr>
            <w:tcW w:w="931" w:type="pct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06744B1A" w14:textId="77777777" w:rsidR="00BA58A6" w:rsidRDefault="00BA58A6" w:rsidP="00CC5071">
            <w:pPr>
              <w:widowControl w:val="0"/>
              <w:spacing w:after="20"/>
              <w:ind w:right="96"/>
              <w:contextualSpacing/>
              <w:rPr>
                <w:rFonts w:cs="Arial"/>
                <w:b/>
                <w:szCs w:val="20"/>
              </w:rPr>
            </w:pPr>
          </w:p>
          <w:p w14:paraId="3671E688" w14:textId="77777777" w:rsidR="00BA58A6" w:rsidRDefault="00BA58A6" w:rsidP="00CC5071">
            <w:pPr>
              <w:widowControl w:val="0"/>
              <w:spacing w:after="20"/>
              <w:ind w:right="96"/>
              <w:contextualSpacing/>
              <w:rPr>
                <w:rFonts w:cs="Arial"/>
                <w:b/>
                <w:szCs w:val="20"/>
              </w:rPr>
            </w:pPr>
          </w:p>
          <w:p w14:paraId="00AD6517" w14:textId="77777777" w:rsidR="00BA58A6" w:rsidRDefault="00BA58A6" w:rsidP="00CC5071">
            <w:pPr>
              <w:widowControl w:val="0"/>
              <w:spacing w:after="20"/>
              <w:ind w:right="96"/>
              <w:contextualSpacing/>
              <w:rPr>
                <w:rFonts w:cs="Arial"/>
                <w:b/>
                <w:szCs w:val="20"/>
              </w:rPr>
            </w:pPr>
          </w:p>
          <w:p w14:paraId="170BC3F4" w14:textId="77777777" w:rsidR="00BA58A6" w:rsidRDefault="00BA58A6" w:rsidP="00CC5071">
            <w:pPr>
              <w:widowControl w:val="0"/>
              <w:spacing w:after="20"/>
              <w:ind w:right="96"/>
              <w:contextualSpacing/>
              <w:rPr>
                <w:rFonts w:cs="Arial"/>
                <w:b/>
                <w:szCs w:val="20"/>
              </w:rPr>
            </w:pPr>
          </w:p>
          <w:p w14:paraId="499579F3" w14:textId="77777777" w:rsidR="00BA58A6" w:rsidRPr="00CC5071" w:rsidRDefault="00BA58A6" w:rsidP="00CC5071">
            <w:pPr>
              <w:widowControl w:val="0"/>
              <w:spacing w:after="20"/>
              <w:ind w:right="96"/>
              <w:contextualSpacing/>
              <w:rPr>
                <w:rFonts w:cs="Arial"/>
                <w:b/>
                <w:szCs w:val="20"/>
              </w:rPr>
            </w:pPr>
          </w:p>
          <w:p w14:paraId="696690FD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Compagnia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Mandante</w:t>
            </w:r>
            <w:proofErr w:type="spellEnd"/>
          </w:p>
        </w:tc>
        <w:tc>
          <w:tcPr>
            <w:tcW w:w="314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ED5200A" w14:textId="77777777" w:rsidR="00CC5071" w:rsidRPr="00CC5071" w:rsidRDefault="00CC5071" w:rsidP="00033D96">
            <w:pPr>
              <w:widowControl w:val="0"/>
              <w:spacing w:after="20"/>
              <w:ind w:right="96"/>
              <w:contextualSpacing/>
              <w:rPr>
                <w:rFonts w:cs="Arial"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Tipologia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Contratto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Categoria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Veicolo</w:t>
            </w:r>
            <w:proofErr w:type="spellEnd"/>
            <w:r w:rsidRPr="00CC5071">
              <w:rPr>
                <w:rFonts w:cs="Arial"/>
                <w:b/>
                <w:szCs w:val="20"/>
              </w:rPr>
              <w:t>/</w:t>
            </w:r>
            <w:proofErr w:type="spellStart"/>
            <w:r w:rsidRPr="00CC5071">
              <w:rPr>
                <w:rFonts w:cs="Arial"/>
                <w:b/>
                <w:szCs w:val="20"/>
              </w:rPr>
              <w:t>Natante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13AE936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Aliquota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Provvigionale</w:t>
            </w:r>
            <w:proofErr w:type="spellEnd"/>
            <w:r w:rsidRPr="00CC5071">
              <w:rPr>
                <w:rFonts w:cs="Arial"/>
                <w:b/>
                <w:szCs w:val="20"/>
              </w:rPr>
              <w:t>**</w:t>
            </w:r>
          </w:p>
        </w:tc>
      </w:tr>
      <w:tr w:rsidR="00CC5071" w:rsidRPr="00CC5071" w14:paraId="5C4BC96B" w14:textId="77777777" w:rsidTr="00BA58A6">
        <w:trPr>
          <w:trHeight w:val="20"/>
          <w:jc w:val="center"/>
        </w:trPr>
        <w:tc>
          <w:tcPr>
            <w:tcW w:w="931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4BE7FFAE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bCs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Helvetia </w:t>
            </w:r>
            <w:proofErr w:type="spellStart"/>
            <w:r w:rsidRPr="00CC5071">
              <w:rPr>
                <w:rFonts w:cs="Arial"/>
                <w:b/>
                <w:szCs w:val="20"/>
              </w:rPr>
              <w:t>SpA</w:t>
            </w:r>
            <w:proofErr w:type="spellEnd"/>
          </w:p>
        </w:tc>
        <w:tc>
          <w:tcPr>
            <w:tcW w:w="314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886E9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Settori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e II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14:paraId="5F6C642C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</w:tr>
      <w:tr w:rsidR="00CC5071" w:rsidRPr="00CC5071" w14:paraId="20D116AC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627AFB1D" w14:textId="77777777" w:rsidR="00CC5071" w:rsidRPr="00CC5071" w:rsidRDefault="00CC5071" w:rsidP="007933C0">
            <w:pPr>
              <w:spacing w:after="20"/>
              <w:contextualSpacing/>
              <w:jc w:val="center"/>
              <w:outlineLvl w:val="3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0814C" w14:textId="77777777" w:rsidR="00CC5071" w:rsidRPr="00CC5071" w:rsidRDefault="00CC5071" w:rsidP="007933C0">
            <w:pPr>
              <w:spacing w:after="20"/>
              <w:contextualSpacing/>
              <w:outlineLvl w:val="3"/>
              <w:rPr>
                <w:rFonts w:cs="Arial"/>
                <w:b/>
                <w:bCs/>
                <w:szCs w:val="20"/>
              </w:rPr>
            </w:pPr>
            <w:r w:rsidRPr="00CC5071">
              <w:rPr>
                <w:rFonts w:cs="Arial"/>
                <w:bCs/>
                <w:szCs w:val="20"/>
              </w:rPr>
              <w:t xml:space="preserve">- </w:t>
            </w:r>
            <w:proofErr w:type="spellStart"/>
            <w:r w:rsidRPr="00CC5071">
              <w:rPr>
                <w:rFonts w:cs="Arial"/>
                <w:bCs/>
                <w:szCs w:val="20"/>
              </w:rPr>
              <w:t>Autovetture</w:t>
            </w:r>
            <w:proofErr w:type="spellEnd"/>
            <w:r w:rsidRPr="00CC5071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14:paraId="2CB6265A" w14:textId="77777777" w:rsidR="00BA58A6" w:rsidRDefault="00CC5071" w:rsidP="007933C0">
            <w:pPr>
              <w:widowControl w:val="0"/>
              <w:spacing w:after="20"/>
              <w:ind w:right="96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            </w:t>
            </w:r>
            <w:r w:rsidR="00BA58A6">
              <w:rPr>
                <w:rFonts w:cs="Arial"/>
                <w:b/>
                <w:szCs w:val="20"/>
              </w:rPr>
              <w:t xml:space="preserve"> </w:t>
            </w:r>
          </w:p>
          <w:p w14:paraId="656CFA74" w14:textId="488EAFB6" w:rsidR="00CC5071" w:rsidRPr="00CC5071" w:rsidRDefault="00BA58A6" w:rsidP="007933C0">
            <w:pPr>
              <w:widowControl w:val="0"/>
              <w:spacing w:after="20"/>
              <w:ind w:right="96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</w:t>
            </w:r>
            <w:r w:rsidR="00CC5071" w:rsidRPr="00CC5071">
              <w:rPr>
                <w:rFonts w:cs="Arial"/>
                <w:b/>
                <w:szCs w:val="20"/>
              </w:rPr>
              <w:t>9.25%</w:t>
            </w:r>
          </w:p>
        </w:tc>
      </w:tr>
      <w:tr w:rsidR="00CC5071" w:rsidRPr="00CC5071" w14:paraId="4D624C6B" w14:textId="77777777" w:rsidTr="00BA58A6">
        <w:trPr>
          <w:trHeight w:val="96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105F98DB" w14:textId="62EA10AD" w:rsidR="00CC5071" w:rsidRPr="00CC5071" w:rsidRDefault="00CC5071" w:rsidP="007933C0">
            <w:pPr>
              <w:spacing w:after="20"/>
              <w:contextualSpacing/>
              <w:jc w:val="center"/>
              <w:outlineLvl w:val="3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D144" w14:textId="77777777" w:rsidR="00CC5071" w:rsidRPr="00CC5071" w:rsidRDefault="00CC5071" w:rsidP="007933C0">
            <w:pPr>
              <w:spacing w:after="20"/>
              <w:contextualSpacing/>
              <w:outlineLvl w:val="3"/>
              <w:rPr>
                <w:rFonts w:cs="Arial"/>
                <w:b/>
                <w:bCs/>
                <w:szCs w:val="20"/>
              </w:rPr>
            </w:pPr>
            <w:r w:rsidRPr="00CC5071">
              <w:rPr>
                <w:rFonts w:cs="Arial"/>
                <w:bCs/>
                <w:szCs w:val="20"/>
              </w:rPr>
              <w:t xml:space="preserve">- Veicoli </w:t>
            </w:r>
            <w:proofErr w:type="spellStart"/>
            <w:r w:rsidRPr="00CC5071">
              <w:rPr>
                <w:rFonts w:cs="Arial"/>
                <w:bCs/>
                <w:szCs w:val="20"/>
              </w:rPr>
              <w:t>d’epoca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e di </w:t>
            </w:r>
            <w:proofErr w:type="spellStart"/>
            <w:r w:rsidRPr="00CC5071">
              <w:rPr>
                <w:rFonts w:cs="Arial"/>
                <w:bCs/>
                <w:szCs w:val="20"/>
              </w:rPr>
              <w:t>interesse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storico</w:t>
            </w:r>
            <w:proofErr w:type="spellEnd"/>
            <w:r w:rsidRPr="00CC5071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5A3F107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Cs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8,49%</w:t>
            </w:r>
          </w:p>
        </w:tc>
      </w:tr>
      <w:tr w:rsidR="00CC5071" w:rsidRPr="00CC5071" w14:paraId="40AB77D4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4F1A8B86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67AD" w14:textId="77777777" w:rsidR="00CC5071" w:rsidRPr="00CC5071" w:rsidRDefault="00CC5071" w:rsidP="007933C0">
            <w:pPr>
              <w:spacing w:after="20"/>
              <w:outlineLvl w:val="3"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Motoscafi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ed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imbarcazioni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fino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 50 t di </w:t>
            </w:r>
            <w:proofErr w:type="spellStart"/>
            <w:r w:rsidRPr="00CC5071">
              <w:rPr>
                <w:rFonts w:eastAsia="Calibri" w:cs="Arial"/>
                <w:szCs w:val="20"/>
              </w:rPr>
              <w:t>stazza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lorda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ad </w:t>
            </w:r>
            <w:proofErr w:type="spellStart"/>
            <w:r w:rsidRPr="00CC5071">
              <w:rPr>
                <w:rFonts w:eastAsia="Calibri" w:cs="Arial"/>
                <w:szCs w:val="20"/>
              </w:rPr>
              <w:t>uso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privato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alla </w:t>
            </w:r>
            <w:proofErr w:type="spellStart"/>
            <w:r w:rsidRPr="00CC5071">
              <w:rPr>
                <w:rFonts w:eastAsia="Calibri" w:cs="Arial"/>
                <w:szCs w:val="20"/>
              </w:rPr>
              <w:t>navigazione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da </w:t>
            </w:r>
            <w:proofErr w:type="spellStart"/>
            <w:r w:rsidRPr="00CC5071">
              <w:rPr>
                <w:rFonts w:eastAsia="Calibri" w:cs="Arial"/>
                <w:szCs w:val="20"/>
              </w:rPr>
              <w:t>diporto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012313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6,74%</w:t>
            </w:r>
          </w:p>
        </w:tc>
      </w:tr>
      <w:tr w:rsidR="00CC5071" w:rsidRPr="00CC5071" w14:paraId="28AF3E30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0D20D763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9C80" w14:textId="77777777" w:rsidR="00CC5071" w:rsidRPr="00CC5071" w:rsidRDefault="00CC5071" w:rsidP="007933C0">
            <w:pPr>
              <w:spacing w:after="20"/>
              <w:outlineLvl w:val="3"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III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: </w:t>
            </w:r>
            <w:r w:rsidRPr="00CC5071">
              <w:rPr>
                <w:rFonts w:eastAsia="Calibri" w:cs="Arial"/>
                <w:szCs w:val="20"/>
              </w:rPr>
              <w:t xml:space="preserve">C/ </w:t>
            </w:r>
            <w:proofErr w:type="spellStart"/>
            <w:r w:rsidRPr="00CC5071">
              <w:rPr>
                <w:rFonts w:eastAsia="Calibri" w:cs="Arial"/>
                <w:szCs w:val="20"/>
              </w:rPr>
              <w:t>terzi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pubblico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FC7A26D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4,24%</w:t>
            </w:r>
          </w:p>
        </w:tc>
      </w:tr>
      <w:tr w:rsidR="00CC5071" w:rsidRPr="00CC5071" w14:paraId="67A3A72F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65F18463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B8B5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IV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Autocarri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c/ </w:t>
            </w:r>
            <w:proofErr w:type="spellStart"/>
            <w:r w:rsidRPr="00CC5071">
              <w:rPr>
                <w:rFonts w:eastAsia="Calibri" w:cs="Arial"/>
                <w:szCs w:val="20"/>
              </w:rPr>
              <w:t>proprio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veicoli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da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ciclomotori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6AE36C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6,17%</w:t>
            </w:r>
          </w:p>
        </w:tc>
      </w:tr>
      <w:tr w:rsidR="00CC5071" w:rsidRPr="00CC5071" w14:paraId="5D2EA9D3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0C51A712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0DB8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Motovetture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5B21DD1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6,56%</w:t>
            </w:r>
          </w:p>
        </w:tc>
      </w:tr>
      <w:tr w:rsidR="00CC5071" w:rsidRPr="00CC5071" w14:paraId="10F5EAD8" w14:textId="77777777" w:rsidTr="00BA58A6">
        <w:trPr>
          <w:trHeight w:val="96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6235E7C1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CABA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VI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Macchine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operatrici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carrelli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5625D2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6,56%</w:t>
            </w:r>
          </w:p>
        </w:tc>
      </w:tr>
      <w:tr w:rsidR="00CC5071" w:rsidRPr="00CC5071" w14:paraId="23651569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453F163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04338B5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VII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Macchine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agricole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c/ </w:t>
            </w:r>
            <w:proofErr w:type="spellStart"/>
            <w:r w:rsidRPr="00CC5071">
              <w:rPr>
                <w:rFonts w:eastAsia="Calibri" w:cs="Arial"/>
                <w:szCs w:val="20"/>
              </w:rPr>
              <w:t>proprio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F7C46B" w14:textId="77777777" w:rsidR="00BA58A6" w:rsidRDefault="00CC5071" w:rsidP="007933C0">
            <w:pPr>
              <w:widowControl w:val="0"/>
              <w:spacing w:after="20"/>
              <w:ind w:right="96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             </w:t>
            </w:r>
            <w:r w:rsidR="00BA58A6">
              <w:rPr>
                <w:rFonts w:cs="Arial"/>
                <w:b/>
                <w:szCs w:val="20"/>
              </w:rPr>
              <w:t xml:space="preserve">    </w:t>
            </w:r>
          </w:p>
          <w:p w14:paraId="4DE3489A" w14:textId="675050C2" w:rsidR="00CC5071" w:rsidRPr="00CC5071" w:rsidRDefault="00BA58A6" w:rsidP="007933C0">
            <w:pPr>
              <w:widowControl w:val="0"/>
              <w:spacing w:after="20"/>
              <w:ind w:right="96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</w:t>
            </w:r>
            <w:r w:rsidR="00CC5071" w:rsidRPr="00CC5071">
              <w:rPr>
                <w:rFonts w:cs="Arial"/>
                <w:b/>
                <w:szCs w:val="20"/>
              </w:rPr>
              <w:t>6,56%</w:t>
            </w:r>
          </w:p>
        </w:tc>
      </w:tr>
      <w:tr w:rsidR="00CC5071" w:rsidRPr="00CC5071" w14:paraId="061AC1F4" w14:textId="77777777" w:rsidTr="00BA58A6">
        <w:trPr>
          <w:trHeight w:val="20"/>
          <w:jc w:val="center"/>
        </w:trPr>
        <w:tc>
          <w:tcPr>
            <w:tcW w:w="931" w:type="pc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7F33256" w14:textId="5036F48B" w:rsidR="00CC5071" w:rsidRPr="00CC5071" w:rsidRDefault="00CC5071" w:rsidP="007933C0">
            <w:pPr>
              <w:spacing w:after="20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DEFB3D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591F83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</w:tr>
      <w:tr w:rsidR="00CC5071" w:rsidRPr="00CC5071" w14:paraId="6B0F92D8" w14:textId="77777777" w:rsidTr="00BA58A6">
        <w:trPr>
          <w:trHeight w:val="20"/>
          <w:jc w:val="center"/>
        </w:trPr>
        <w:tc>
          <w:tcPr>
            <w:tcW w:w="931" w:type="pct"/>
            <w:tcBorders>
              <w:top w:val="nil"/>
              <w:bottom w:val="nil"/>
              <w:right w:val="nil"/>
            </w:tcBorders>
            <w:vAlign w:val="center"/>
          </w:tcPr>
          <w:p w14:paraId="4B8F6D8E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B81A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9D48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</w:tr>
      <w:tr w:rsidR="00CC5071" w:rsidRPr="00CC5071" w14:paraId="431BF1FE" w14:textId="77777777" w:rsidTr="00BA58A6">
        <w:trPr>
          <w:trHeight w:val="20"/>
          <w:jc w:val="center"/>
        </w:trPr>
        <w:tc>
          <w:tcPr>
            <w:tcW w:w="931" w:type="pct"/>
            <w:tcBorders>
              <w:top w:val="nil"/>
              <w:right w:val="nil"/>
            </w:tcBorders>
            <w:vAlign w:val="center"/>
          </w:tcPr>
          <w:p w14:paraId="4F81517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E4853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7C95DB0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</w:tr>
      <w:tr w:rsidR="00CC5071" w:rsidRPr="00CC5071" w14:paraId="46F43182" w14:textId="77777777" w:rsidTr="00BA58A6">
        <w:trPr>
          <w:trHeight w:val="20"/>
          <w:jc w:val="center"/>
        </w:trPr>
        <w:tc>
          <w:tcPr>
            <w:tcW w:w="931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221F7AF0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Itas - </w:t>
            </w:r>
            <w:proofErr w:type="spellStart"/>
            <w:r w:rsidRPr="00CC5071">
              <w:rPr>
                <w:rFonts w:cs="Arial"/>
                <w:b/>
                <w:szCs w:val="20"/>
              </w:rPr>
              <w:t>Istituto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Trentino-Alto </w:t>
            </w:r>
            <w:proofErr w:type="spellStart"/>
            <w:r w:rsidRPr="00CC5071">
              <w:rPr>
                <w:rFonts w:cs="Arial"/>
                <w:b/>
                <w:szCs w:val="20"/>
              </w:rPr>
              <w:t>Adige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per Assicurazioni </w:t>
            </w:r>
            <w:proofErr w:type="spellStart"/>
            <w:r w:rsidRPr="00CC5071">
              <w:rPr>
                <w:rFonts w:cs="Arial"/>
                <w:b/>
                <w:szCs w:val="20"/>
              </w:rPr>
              <w:t>Società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szCs w:val="20"/>
              </w:rPr>
              <w:t>Mutua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di Assicurazioni</w:t>
            </w:r>
          </w:p>
        </w:tc>
        <w:tc>
          <w:tcPr>
            <w:tcW w:w="314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BBFE9D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Settori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e II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43239411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</w:p>
        </w:tc>
      </w:tr>
      <w:tr w:rsidR="00CC5071" w:rsidRPr="00CC5071" w14:paraId="03E658DE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211C2032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BDB15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Cs/>
                <w:szCs w:val="20"/>
              </w:rPr>
            </w:pPr>
            <w:r w:rsidRPr="00CC5071">
              <w:rPr>
                <w:rFonts w:cs="Arial"/>
                <w:bCs/>
                <w:szCs w:val="20"/>
              </w:rPr>
              <w:t xml:space="preserve">- </w:t>
            </w:r>
            <w:proofErr w:type="spellStart"/>
            <w:r w:rsidRPr="00CC5071">
              <w:rPr>
                <w:rFonts w:cs="Arial"/>
                <w:bCs/>
                <w:szCs w:val="20"/>
              </w:rPr>
              <w:t>Autovetture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in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servizio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privato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CC5071">
              <w:rPr>
                <w:rFonts w:cs="Arial"/>
                <w:bCs/>
                <w:szCs w:val="20"/>
              </w:rPr>
              <w:t>esclusa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la </w:t>
            </w:r>
            <w:proofErr w:type="spellStart"/>
            <w:r w:rsidRPr="00CC5071">
              <w:rPr>
                <w:rFonts w:cs="Arial"/>
                <w:bCs/>
                <w:szCs w:val="20"/>
              </w:rPr>
              <w:t>locazione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– e da </w:t>
            </w:r>
            <w:proofErr w:type="spellStart"/>
            <w:r w:rsidRPr="00CC5071">
              <w:rPr>
                <w:rFonts w:cs="Arial"/>
                <w:bCs/>
                <w:szCs w:val="20"/>
              </w:rPr>
              <w:t>noleggio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conducente</w:t>
            </w:r>
            <w:proofErr w:type="spellEnd"/>
            <w:r w:rsidRPr="00CC5071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14E081F5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7,72%</w:t>
            </w:r>
          </w:p>
        </w:tc>
      </w:tr>
      <w:tr w:rsidR="00CC5071" w:rsidRPr="00CC5071" w14:paraId="2CBA54B9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36EBED5A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7216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Cs/>
                <w:szCs w:val="20"/>
              </w:rPr>
            </w:pPr>
            <w:r w:rsidRPr="00CC5071">
              <w:rPr>
                <w:rFonts w:cs="Arial"/>
                <w:bCs/>
                <w:szCs w:val="20"/>
              </w:rPr>
              <w:t xml:space="preserve">- Veicoli </w:t>
            </w:r>
            <w:proofErr w:type="spellStart"/>
            <w:r w:rsidRPr="00CC5071">
              <w:rPr>
                <w:rFonts w:cs="Arial"/>
                <w:bCs/>
                <w:szCs w:val="20"/>
              </w:rPr>
              <w:t>d’epoca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e di </w:t>
            </w:r>
            <w:proofErr w:type="spellStart"/>
            <w:r w:rsidRPr="00CC5071">
              <w:rPr>
                <w:rFonts w:cs="Arial"/>
                <w:bCs/>
                <w:szCs w:val="20"/>
              </w:rPr>
              <w:t>interesse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storico</w:t>
            </w:r>
            <w:proofErr w:type="spellEnd"/>
            <w:r w:rsidRPr="00CC5071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0E680A" w14:textId="77777777" w:rsidR="00CC5071" w:rsidRPr="00CC5071" w:rsidRDefault="00CC5071" w:rsidP="007933C0">
            <w:pPr>
              <w:widowControl w:val="0"/>
              <w:spacing w:after="20"/>
              <w:ind w:right="96"/>
              <w:contextualSpacing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 9,33%</w:t>
            </w:r>
          </w:p>
        </w:tc>
      </w:tr>
      <w:tr w:rsidR="00CC5071" w:rsidRPr="00CC5071" w14:paraId="046D2916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03511840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F6F6" w14:textId="77777777" w:rsidR="00CC5071" w:rsidRPr="00CC5071" w:rsidRDefault="00CC5071" w:rsidP="007933C0">
            <w:pPr>
              <w:spacing w:after="20"/>
              <w:outlineLvl w:val="3"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Motoscafi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ed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imbarcazioni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fino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 50 t di </w:t>
            </w:r>
            <w:proofErr w:type="spellStart"/>
            <w:r w:rsidRPr="00CC5071">
              <w:rPr>
                <w:rFonts w:eastAsia="Calibri" w:cs="Arial"/>
                <w:szCs w:val="20"/>
              </w:rPr>
              <w:t>stazza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lorda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ad </w:t>
            </w:r>
            <w:proofErr w:type="spellStart"/>
            <w:r w:rsidRPr="00CC5071">
              <w:rPr>
                <w:rFonts w:eastAsia="Calibri" w:cs="Arial"/>
                <w:szCs w:val="20"/>
              </w:rPr>
              <w:t>uso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privato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alla </w:t>
            </w:r>
            <w:proofErr w:type="spellStart"/>
            <w:r w:rsidRPr="00CC5071">
              <w:rPr>
                <w:rFonts w:eastAsia="Calibri" w:cs="Arial"/>
                <w:szCs w:val="20"/>
              </w:rPr>
              <w:t>navigazione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da </w:t>
            </w:r>
            <w:proofErr w:type="spellStart"/>
            <w:r w:rsidRPr="00CC5071">
              <w:rPr>
                <w:rFonts w:eastAsia="Calibri" w:cs="Arial"/>
                <w:szCs w:val="20"/>
              </w:rPr>
              <w:t>diporto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DE1F8D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 7,72%</w:t>
            </w:r>
          </w:p>
        </w:tc>
      </w:tr>
      <w:tr w:rsidR="00CC5071" w:rsidRPr="00CC5071" w14:paraId="3B93BA63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6ACDE1B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460C" w14:textId="77777777" w:rsidR="00CC5071" w:rsidRPr="00CC5071" w:rsidRDefault="00CC5071" w:rsidP="007933C0">
            <w:pPr>
              <w:spacing w:after="20"/>
              <w:outlineLvl w:val="3"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III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: </w:t>
            </w:r>
            <w:r w:rsidRPr="00CC5071">
              <w:rPr>
                <w:rFonts w:eastAsia="Calibri" w:cs="Arial"/>
                <w:szCs w:val="20"/>
              </w:rPr>
              <w:t xml:space="preserve">Autobus in </w:t>
            </w:r>
            <w:proofErr w:type="spellStart"/>
            <w:r w:rsidRPr="00CC5071">
              <w:rPr>
                <w:rFonts w:eastAsia="Calibri" w:cs="Arial"/>
                <w:szCs w:val="20"/>
              </w:rPr>
              <w:t>servizio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privato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0843937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6,17%</w:t>
            </w:r>
          </w:p>
        </w:tc>
      </w:tr>
      <w:tr w:rsidR="00CC5071" w:rsidRPr="00CC5071" w14:paraId="10180F60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2D6245C7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A6A8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IV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Autocarri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per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cose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proprie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D539D1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6,17%</w:t>
            </w:r>
          </w:p>
        </w:tc>
      </w:tr>
      <w:tr w:rsidR="00CC5071" w:rsidRPr="00CC5071" w14:paraId="57D9426E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06128083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E2A2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Ciclomotori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motocarrozzette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ad </w:t>
            </w:r>
            <w:proofErr w:type="spellStart"/>
            <w:r w:rsidRPr="00CC5071">
              <w:rPr>
                <w:rFonts w:eastAsia="Calibri" w:cs="Arial"/>
                <w:szCs w:val="20"/>
              </w:rPr>
              <w:t>uso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privato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- </w:t>
            </w:r>
            <w:proofErr w:type="spellStart"/>
            <w:r w:rsidRPr="00CC5071">
              <w:rPr>
                <w:rFonts w:eastAsia="Calibri" w:cs="Arial"/>
                <w:szCs w:val="20"/>
              </w:rPr>
              <w:t>esclusi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il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noleggio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la </w:t>
            </w:r>
            <w:proofErr w:type="spellStart"/>
            <w:r w:rsidRPr="00CC5071">
              <w:rPr>
                <w:rFonts w:eastAsia="Calibri" w:cs="Arial"/>
                <w:szCs w:val="20"/>
              </w:rPr>
              <w:t>locazione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ed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il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eastAsia="Calibri" w:cs="Arial"/>
                <w:szCs w:val="20"/>
              </w:rPr>
              <w:t>cose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B0771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7,72%</w:t>
            </w:r>
          </w:p>
        </w:tc>
      </w:tr>
      <w:tr w:rsidR="00CC5071" w:rsidRPr="00CC5071" w14:paraId="0F9E82F1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44D661A2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E5D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VI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Macchine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operatrici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carrelli</w:t>
            </w:r>
            <w:proofErr w:type="spellEnd"/>
            <w:r w:rsidRPr="00CC5071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6CFFCF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 7,72%</w:t>
            </w:r>
          </w:p>
        </w:tc>
      </w:tr>
      <w:tr w:rsidR="00CC5071" w:rsidRPr="00CC5071" w14:paraId="2CD8974B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4F1209C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FF6B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VII di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eastAsia="Calibri" w:cs="Arial"/>
                <w:szCs w:val="20"/>
              </w:rPr>
              <w:t>Macchine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agricole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semoventi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-solo </w:t>
            </w:r>
            <w:proofErr w:type="spellStart"/>
            <w:r w:rsidRPr="00CC5071">
              <w:rPr>
                <w:rFonts w:eastAsia="Calibri" w:cs="Arial"/>
                <w:szCs w:val="20"/>
              </w:rPr>
              <w:t>rischio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della </w:t>
            </w:r>
            <w:proofErr w:type="spellStart"/>
            <w:r w:rsidRPr="00CC5071">
              <w:rPr>
                <w:rFonts w:eastAsia="Calibri" w:cs="Arial"/>
                <w:szCs w:val="20"/>
              </w:rPr>
              <w:t>circolazione</w:t>
            </w:r>
            <w:proofErr w:type="spellEnd"/>
            <w:r w:rsidRPr="00CC5071">
              <w:rPr>
                <w:rFonts w:eastAsia="Calibri" w:cs="Arial"/>
                <w:szCs w:val="20"/>
              </w:rPr>
              <w:t>-.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AF583A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7,72%</w:t>
            </w:r>
          </w:p>
        </w:tc>
      </w:tr>
      <w:tr w:rsidR="00CC5071" w:rsidRPr="00CC5071" w14:paraId="02CBF08A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0C30EA25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555F" w14:textId="77777777" w:rsidR="00CC5071" w:rsidRPr="00CC5071" w:rsidRDefault="00CC5071" w:rsidP="007933C0">
            <w:pPr>
              <w:spacing w:after="20"/>
              <w:rPr>
                <w:rFonts w:eastAsia="Calibri" w:cs="Arial"/>
                <w:b/>
                <w:szCs w:val="20"/>
              </w:rPr>
            </w:pPr>
            <w:r w:rsidRPr="00CC5071">
              <w:rPr>
                <w:rFonts w:eastAsia="Calibri" w:cs="Arial"/>
                <w:b/>
                <w:szCs w:val="20"/>
              </w:rPr>
              <w:t xml:space="preserve">Polizze a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Libro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Matricola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</w:t>
            </w:r>
            <w:r w:rsidRPr="00CC5071">
              <w:rPr>
                <w:rFonts w:eastAsia="Calibri" w:cs="Arial"/>
                <w:szCs w:val="20"/>
              </w:rPr>
              <w:t xml:space="preserve">– </w:t>
            </w:r>
            <w:proofErr w:type="spellStart"/>
            <w:r w:rsidRPr="00CC5071">
              <w:rPr>
                <w:rFonts w:eastAsia="Calibri" w:cs="Arial"/>
                <w:szCs w:val="20"/>
              </w:rPr>
              <w:t>escluso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rischi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previsti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al </w:t>
            </w:r>
            <w:proofErr w:type="spellStart"/>
            <w:r w:rsidRPr="00CC5071">
              <w:rPr>
                <w:rFonts w:eastAsia="Calibri" w:cs="Arial"/>
                <w:szCs w:val="20"/>
              </w:rPr>
              <w:t>punto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2 della </w:t>
            </w:r>
            <w:proofErr w:type="spellStart"/>
            <w:r w:rsidRPr="00CC5071">
              <w:rPr>
                <w:rFonts w:eastAsia="Calibri" w:cs="Arial"/>
                <w:szCs w:val="20"/>
              </w:rPr>
              <w:t>Circolare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n. 317 del 18/06/90 -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E3F05BC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6,17%</w:t>
            </w:r>
          </w:p>
        </w:tc>
      </w:tr>
      <w:tr w:rsidR="00CC5071" w:rsidRPr="00CC5071" w14:paraId="6DF718DC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64D79FB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164708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eastAsia="Calibri" w:cs="Arial"/>
                <w:b/>
                <w:szCs w:val="20"/>
              </w:rPr>
              <w:t>Rischi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previsti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al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punto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2 della </w:t>
            </w:r>
            <w:proofErr w:type="spellStart"/>
            <w:r w:rsidRPr="00CC5071">
              <w:rPr>
                <w:rFonts w:eastAsia="Calibri" w:cs="Arial"/>
                <w:b/>
                <w:szCs w:val="20"/>
              </w:rPr>
              <w:t>Circolare</w:t>
            </w:r>
            <w:proofErr w:type="spellEnd"/>
            <w:r w:rsidRPr="00CC5071">
              <w:rPr>
                <w:rFonts w:eastAsia="Calibri" w:cs="Arial"/>
                <w:b/>
                <w:szCs w:val="20"/>
              </w:rPr>
              <w:t xml:space="preserve"> n. 317 del 18/06/90.</w:t>
            </w:r>
          </w:p>
          <w:p w14:paraId="54AFE6CE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proofErr w:type="gramStart"/>
            <w:r w:rsidRPr="00CC5071">
              <w:rPr>
                <w:rFonts w:eastAsia="Calibri" w:cs="Arial"/>
                <w:szCs w:val="20"/>
              </w:rPr>
              <w:t>Autoveicoli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da </w:t>
            </w:r>
            <w:proofErr w:type="spellStart"/>
            <w:r w:rsidRPr="00CC5071">
              <w:rPr>
                <w:rFonts w:eastAsia="Calibri" w:cs="Arial"/>
                <w:szCs w:val="20"/>
              </w:rPr>
              <w:t>noleggio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senza </w:t>
            </w:r>
            <w:proofErr w:type="spellStart"/>
            <w:r w:rsidRPr="00CC5071">
              <w:rPr>
                <w:rFonts w:eastAsia="Calibri" w:cs="Arial"/>
                <w:szCs w:val="20"/>
              </w:rPr>
              <w:t>conducente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</w:t>
            </w:r>
            <w:proofErr w:type="spellStart"/>
            <w:r w:rsidRPr="00CC5071">
              <w:rPr>
                <w:rFonts w:eastAsia="Calibri" w:cs="Arial"/>
                <w:szCs w:val="20"/>
              </w:rPr>
              <w:t>Autotassametri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Autobus e </w:t>
            </w:r>
            <w:proofErr w:type="spellStart"/>
            <w:r w:rsidRPr="00CC5071">
              <w:rPr>
                <w:rFonts w:eastAsia="Calibri" w:cs="Arial"/>
                <w:szCs w:val="20"/>
              </w:rPr>
              <w:t>filobus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in </w:t>
            </w:r>
            <w:proofErr w:type="spellStart"/>
            <w:r w:rsidRPr="00CC5071">
              <w:rPr>
                <w:rFonts w:eastAsia="Calibri" w:cs="Arial"/>
                <w:szCs w:val="20"/>
              </w:rPr>
              <w:t>servizio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eastAsia="Calibri" w:cs="Arial"/>
                <w:szCs w:val="20"/>
              </w:rPr>
              <w:t>linea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urbano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e/ o </w:t>
            </w:r>
            <w:proofErr w:type="spellStart"/>
            <w:r w:rsidRPr="00CC5071">
              <w:rPr>
                <w:rFonts w:eastAsia="Calibri" w:cs="Arial"/>
                <w:szCs w:val="20"/>
              </w:rPr>
              <w:t>extraurbano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da </w:t>
            </w:r>
            <w:proofErr w:type="spellStart"/>
            <w:r w:rsidRPr="00CC5071">
              <w:rPr>
                <w:rFonts w:eastAsia="Calibri" w:cs="Arial"/>
                <w:szCs w:val="20"/>
              </w:rPr>
              <w:t>turismo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e/ o da </w:t>
            </w:r>
            <w:proofErr w:type="spellStart"/>
            <w:r w:rsidRPr="00CC5071">
              <w:rPr>
                <w:rFonts w:eastAsia="Calibri" w:cs="Arial"/>
                <w:szCs w:val="20"/>
              </w:rPr>
              <w:t>noleggio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nonché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autobus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esclusivamente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 </w:t>
            </w:r>
            <w:proofErr w:type="spellStart"/>
            <w:r w:rsidRPr="00CC5071">
              <w:rPr>
                <w:rFonts w:eastAsia="Calibri" w:cs="Arial"/>
                <w:szCs w:val="20"/>
              </w:rPr>
              <w:t>scuola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guida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</w:t>
            </w:r>
            <w:proofErr w:type="spellStart"/>
            <w:r w:rsidRPr="00CC5071">
              <w:rPr>
                <w:rFonts w:eastAsia="Calibri" w:cs="Arial"/>
                <w:szCs w:val="20"/>
              </w:rPr>
              <w:t>Autocarri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autobotti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autocisterne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autotreni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CC5071">
              <w:rPr>
                <w:rFonts w:eastAsia="Calibri" w:cs="Arial"/>
                <w:szCs w:val="20"/>
              </w:rPr>
              <w:t>autoarticolati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eastAsia="Calibri" w:cs="Arial"/>
                <w:szCs w:val="20"/>
              </w:rPr>
              <w:t>persone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in </w:t>
            </w:r>
            <w:proofErr w:type="spellStart"/>
            <w:r w:rsidRPr="00CC5071">
              <w:rPr>
                <w:rFonts w:eastAsia="Calibri" w:cs="Arial"/>
                <w:szCs w:val="20"/>
              </w:rPr>
              <w:t>servizio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continuativo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od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occasionale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Veicoli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al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anche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occasionale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di gas </w:t>
            </w:r>
            <w:proofErr w:type="spellStart"/>
            <w:r w:rsidRPr="00CC5071">
              <w:rPr>
                <w:rFonts w:eastAsia="Calibri" w:cs="Arial"/>
                <w:szCs w:val="20"/>
              </w:rPr>
              <w:t>tossici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o di </w:t>
            </w:r>
            <w:proofErr w:type="spellStart"/>
            <w:r w:rsidRPr="00CC5071">
              <w:rPr>
                <w:rFonts w:eastAsia="Calibri" w:cs="Arial"/>
                <w:szCs w:val="20"/>
              </w:rPr>
              <w:t>materie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esplosive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</w:t>
            </w:r>
            <w:proofErr w:type="spellStart"/>
            <w:r w:rsidRPr="00CC5071">
              <w:rPr>
                <w:rFonts w:eastAsia="Calibri" w:cs="Arial"/>
                <w:szCs w:val="20"/>
              </w:rPr>
              <w:t>Motocarri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eastAsia="Calibri" w:cs="Arial"/>
                <w:szCs w:val="20"/>
              </w:rPr>
              <w:t>motofurgoni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adibiti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al </w:t>
            </w:r>
            <w:proofErr w:type="spellStart"/>
            <w:r w:rsidRPr="00CC5071">
              <w:rPr>
                <w:rFonts w:eastAsia="Calibri" w:cs="Arial"/>
                <w:szCs w:val="20"/>
              </w:rPr>
              <w:t>trasporto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cose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per </w:t>
            </w:r>
            <w:proofErr w:type="spellStart"/>
            <w:r w:rsidRPr="00CC5071">
              <w:rPr>
                <w:rFonts w:eastAsia="Calibri" w:cs="Arial"/>
                <w:szCs w:val="20"/>
              </w:rPr>
              <w:t>conto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terzi</w:t>
            </w:r>
            <w:proofErr w:type="spellEnd"/>
            <w:r w:rsidRPr="00CC5071">
              <w:rPr>
                <w:rFonts w:eastAsia="Calibri" w:cs="Arial"/>
                <w:szCs w:val="20"/>
              </w:rPr>
              <w:t xml:space="preserve">; </w:t>
            </w:r>
            <w:proofErr w:type="spellStart"/>
            <w:r w:rsidRPr="00CC5071">
              <w:rPr>
                <w:rFonts w:cs="Arial"/>
                <w:szCs w:val="20"/>
              </w:rPr>
              <w:t>Ciclomotori</w:t>
            </w:r>
            <w:proofErr w:type="spellEnd"/>
            <w:r w:rsidRPr="00CC5071">
              <w:rPr>
                <w:rFonts w:cs="Arial"/>
                <w:szCs w:val="20"/>
              </w:rPr>
              <w:t xml:space="preserve">, </w:t>
            </w:r>
            <w:proofErr w:type="spellStart"/>
            <w:r w:rsidRPr="00CC5071">
              <w:rPr>
                <w:rFonts w:cs="Arial"/>
                <w:szCs w:val="20"/>
              </w:rPr>
              <w:t>motocicli</w:t>
            </w:r>
            <w:proofErr w:type="spellEnd"/>
            <w:r w:rsidRPr="00CC5071">
              <w:rPr>
                <w:rFonts w:cs="Arial"/>
                <w:szCs w:val="20"/>
              </w:rPr>
              <w:t xml:space="preserve"> e </w:t>
            </w:r>
            <w:proofErr w:type="spellStart"/>
            <w:r w:rsidRPr="00CC5071">
              <w:rPr>
                <w:rFonts w:cs="Arial"/>
                <w:szCs w:val="20"/>
              </w:rPr>
              <w:t>motocarrozzette</w:t>
            </w:r>
            <w:proofErr w:type="spellEnd"/>
            <w:r w:rsidRPr="00CC5071">
              <w:rPr>
                <w:rFonts w:cs="Arial"/>
                <w:szCs w:val="20"/>
              </w:rPr>
              <w:t xml:space="preserve"> da </w:t>
            </w:r>
            <w:proofErr w:type="spellStart"/>
            <w:r w:rsidRPr="00CC5071">
              <w:rPr>
                <w:rFonts w:cs="Arial"/>
                <w:szCs w:val="20"/>
              </w:rPr>
              <w:t>noleggio</w:t>
            </w:r>
            <w:proofErr w:type="spellEnd"/>
            <w:r w:rsidRPr="00CC5071">
              <w:rPr>
                <w:rFonts w:cs="Arial"/>
                <w:szCs w:val="20"/>
              </w:rPr>
              <w:t xml:space="preserve"> e/ o </w:t>
            </w:r>
            <w:proofErr w:type="spellStart"/>
            <w:r w:rsidRPr="00CC5071">
              <w:rPr>
                <w:rFonts w:cs="Arial"/>
                <w:szCs w:val="20"/>
              </w:rPr>
              <w:t>locazione</w:t>
            </w:r>
            <w:proofErr w:type="spellEnd"/>
            <w:r w:rsidRPr="00CC5071">
              <w:rPr>
                <w:rFonts w:cs="Arial"/>
                <w:szCs w:val="20"/>
              </w:rPr>
              <w:t xml:space="preserve">, </w:t>
            </w:r>
            <w:proofErr w:type="spellStart"/>
            <w:r w:rsidRPr="00CC5071">
              <w:rPr>
                <w:rFonts w:cs="Arial"/>
                <w:szCs w:val="20"/>
              </w:rPr>
              <w:t>adibite</w:t>
            </w:r>
            <w:proofErr w:type="spellEnd"/>
            <w:r w:rsidRPr="00CC5071">
              <w:rPr>
                <w:rFonts w:cs="Arial"/>
                <w:szCs w:val="20"/>
              </w:rPr>
              <w:t xml:space="preserve"> a </w:t>
            </w:r>
            <w:proofErr w:type="spellStart"/>
            <w:r w:rsidRPr="00CC5071">
              <w:rPr>
                <w:rFonts w:cs="Arial"/>
                <w:szCs w:val="20"/>
              </w:rPr>
              <w:t>servizio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pubblico</w:t>
            </w:r>
            <w:proofErr w:type="spellEnd"/>
            <w:r w:rsidRPr="00CC5071">
              <w:rPr>
                <w:rFonts w:cs="Arial"/>
                <w:szCs w:val="20"/>
              </w:rPr>
              <w:t xml:space="preserve"> e/ o al </w:t>
            </w:r>
            <w:proofErr w:type="spellStart"/>
            <w:r w:rsidRPr="00CC5071">
              <w:rPr>
                <w:rFonts w:cs="Arial"/>
                <w:szCs w:val="20"/>
              </w:rPr>
              <w:t>trasporto</w:t>
            </w:r>
            <w:proofErr w:type="spellEnd"/>
            <w:r w:rsidRPr="00CC5071">
              <w:rPr>
                <w:rFonts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szCs w:val="20"/>
              </w:rPr>
              <w:t>cose</w:t>
            </w:r>
            <w:proofErr w:type="spellEnd"/>
            <w:r w:rsidRPr="00CC5071">
              <w:rPr>
                <w:rFonts w:cs="Arial"/>
                <w:szCs w:val="20"/>
              </w:rPr>
              <w:t xml:space="preserve"> per </w:t>
            </w:r>
            <w:proofErr w:type="spellStart"/>
            <w:r w:rsidRPr="00CC5071">
              <w:rPr>
                <w:rFonts w:cs="Arial"/>
                <w:szCs w:val="20"/>
              </w:rPr>
              <w:t>conto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terzi</w:t>
            </w:r>
            <w:proofErr w:type="spellEnd"/>
            <w:r w:rsidRPr="00CC5071">
              <w:rPr>
                <w:rFonts w:cs="Arial"/>
                <w:szCs w:val="20"/>
              </w:rPr>
              <w:t>;</w:t>
            </w:r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eastAsia="Calibri" w:cs="Arial"/>
                <w:szCs w:val="20"/>
              </w:rPr>
              <w:t>T</w:t>
            </w:r>
            <w:r w:rsidRPr="00CC5071">
              <w:rPr>
                <w:rFonts w:cs="Arial"/>
                <w:szCs w:val="20"/>
              </w:rPr>
              <w:t>rattori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stradali</w:t>
            </w:r>
            <w:proofErr w:type="spellEnd"/>
            <w:r w:rsidRPr="00CC5071">
              <w:rPr>
                <w:rFonts w:cs="Arial"/>
                <w:szCs w:val="20"/>
              </w:rPr>
              <w:t xml:space="preserve"> (</w:t>
            </w:r>
            <w:proofErr w:type="spellStart"/>
            <w:r w:rsidRPr="00CC5071">
              <w:rPr>
                <w:rFonts w:cs="Arial"/>
                <w:szCs w:val="20"/>
              </w:rPr>
              <w:t>art</w:t>
            </w:r>
            <w:proofErr w:type="spellEnd"/>
            <w:r w:rsidRPr="00CC5071">
              <w:rPr>
                <w:rFonts w:cs="Arial"/>
                <w:szCs w:val="20"/>
              </w:rPr>
              <w:t xml:space="preserve"> 26 </w:t>
            </w:r>
            <w:proofErr w:type="spellStart"/>
            <w:r w:rsidRPr="00CC5071">
              <w:rPr>
                <w:rFonts w:cs="Arial"/>
                <w:szCs w:val="20"/>
              </w:rPr>
              <w:t>lett</w:t>
            </w:r>
            <w:proofErr w:type="spellEnd"/>
            <w:r w:rsidRPr="00CC5071">
              <w:rPr>
                <w:rFonts w:cs="Arial"/>
                <w:szCs w:val="20"/>
              </w:rPr>
              <w:t xml:space="preserve">. e) del </w:t>
            </w:r>
            <w:proofErr w:type="spellStart"/>
            <w:r w:rsidRPr="00CC5071">
              <w:rPr>
                <w:rFonts w:cs="Arial"/>
                <w:szCs w:val="20"/>
              </w:rPr>
              <w:t>C.d.s</w:t>
            </w:r>
            <w:proofErr w:type="spellEnd"/>
            <w:r w:rsidRPr="00CC5071">
              <w:rPr>
                <w:rFonts w:cs="Arial"/>
                <w:szCs w:val="20"/>
              </w:rPr>
              <w:t>;</w:t>
            </w:r>
            <w:r w:rsidRPr="00CC5071">
              <w:rPr>
                <w:rFonts w:eastAsia="Calibri" w:cs="Arial"/>
                <w:szCs w:val="20"/>
              </w:rPr>
              <w:t xml:space="preserve"> </w:t>
            </w:r>
            <w:r w:rsidRPr="00CC5071">
              <w:rPr>
                <w:rFonts w:cs="Arial"/>
                <w:szCs w:val="20"/>
              </w:rPr>
              <w:t xml:space="preserve">Autobetoniere, </w:t>
            </w:r>
            <w:proofErr w:type="spellStart"/>
            <w:r w:rsidRPr="00CC5071">
              <w:rPr>
                <w:rFonts w:cs="Arial"/>
                <w:szCs w:val="20"/>
              </w:rPr>
              <w:t>autoscale</w:t>
            </w:r>
            <w:proofErr w:type="spellEnd"/>
            <w:r w:rsidRPr="00CC5071">
              <w:rPr>
                <w:rFonts w:cs="Arial"/>
                <w:szCs w:val="20"/>
              </w:rPr>
              <w:t xml:space="preserve">, </w:t>
            </w:r>
            <w:proofErr w:type="spellStart"/>
            <w:r w:rsidRPr="00CC5071">
              <w:rPr>
                <w:rFonts w:cs="Arial"/>
                <w:szCs w:val="20"/>
              </w:rPr>
              <w:t>autocarri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attrezzati</w:t>
            </w:r>
            <w:proofErr w:type="spellEnd"/>
            <w:r w:rsidRPr="00CC5071">
              <w:rPr>
                <w:rFonts w:cs="Arial"/>
                <w:szCs w:val="20"/>
              </w:rPr>
              <w:t xml:space="preserve"> al </w:t>
            </w:r>
            <w:proofErr w:type="spellStart"/>
            <w:r w:rsidRPr="00CC5071">
              <w:rPr>
                <w:rFonts w:cs="Arial"/>
                <w:szCs w:val="20"/>
              </w:rPr>
              <w:t>trasporto</w:t>
            </w:r>
            <w:proofErr w:type="spellEnd"/>
            <w:r w:rsidRPr="00CC5071">
              <w:rPr>
                <w:rFonts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szCs w:val="20"/>
              </w:rPr>
              <w:t>vetture</w:t>
            </w:r>
            <w:proofErr w:type="spellEnd"/>
            <w:r w:rsidRPr="00CC5071">
              <w:rPr>
                <w:rFonts w:cs="Arial"/>
                <w:szCs w:val="20"/>
              </w:rPr>
              <w:t>;</w:t>
            </w:r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Autolettighe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ed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ambulanze</w:t>
            </w:r>
            <w:proofErr w:type="spellEnd"/>
            <w:r w:rsidRPr="00CC5071">
              <w:rPr>
                <w:rFonts w:cs="Arial"/>
                <w:szCs w:val="20"/>
              </w:rPr>
              <w:t>;</w:t>
            </w:r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Mezzi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sgombraneve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semoventi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e”gatto</w:t>
            </w:r>
            <w:proofErr w:type="spellEnd"/>
            <w:r w:rsidRPr="00CC5071">
              <w:rPr>
                <w:rFonts w:cs="Arial"/>
                <w:szCs w:val="20"/>
              </w:rPr>
              <w:t xml:space="preserve"> delle </w:t>
            </w:r>
            <w:proofErr w:type="spellStart"/>
            <w:r w:rsidRPr="00CC5071">
              <w:rPr>
                <w:rFonts w:cs="Arial"/>
                <w:szCs w:val="20"/>
              </w:rPr>
              <w:t>nevi</w:t>
            </w:r>
            <w:proofErr w:type="spellEnd"/>
            <w:r w:rsidRPr="00CC5071">
              <w:rPr>
                <w:rFonts w:cs="Arial"/>
                <w:szCs w:val="20"/>
              </w:rPr>
              <w:t>”;</w:t>
            </w:r>
            <w:r w:rsidRPr="00CC5071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Natanti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ed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imbarcazioni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fino</w:t>
            </w:r>
            <w:proofErr w:type="spellEnd"/>
            <w:r w:rsidRPr="00CC5071">
              <w:rPr>
                <w:rFonts w:cs="Arial"/>
                <w:szCs w:val="20"/>
              </w:rPr>
              <w:t xml:space="preserve"> a 25 ton.</w:t>
            </w:r>
            <w:proofErr w:type="gramEnd"/>
            <w:r w:rsidRPr="00CC5071">
              <w:rPr>
                <w:rFonts w:cs="Arial"/>
                <w:szCs w:val="20"/>
              </w:rPr>
              <w:t xml:space="preserve"> </w:t>
            </w:r>
            <w:proofErr w:type="gramStart"/>
            <w:r w:rsidRPr="00CC5071">
              <w:rPr>
                <w:rFonts w:cs="Arial"/>
                <w:szCs w:val="20"/>
              </w:rPr>
              <w:t>di</w:t>
            </w:r>
            <w:proofErr w:type="gram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stazza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lordo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adibiti</w:t>
            </w:r>
            <w:proofErr w:type="spellEnd"/>
            <w:r w:rsidRPr="00CC5071">
              <w:rPr>
                <w:rFonts w:cs="Arial"/>
                <w:szCs w:val="20"/>
              </w:rPr>
              <w:t xml:space="preserve"> a </w:t>
            </w:r>
            <w:proofErr w:type="spellStart"/>
            <w:r w:rsidRPr="00CC5071">
              <w:rPr>
                <w:rFonts w:cs="Arial"/>
                <w:szCs w:val="20"/>
              </w:rPr>
              <w:t>servizio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pubblico</w:t>
            </w:r>
            <w:proofErr w:type="spellEnd"/>
            <w:r w:rsidRPr="00CC5071">
              <w:rPr>
                <w:rFonts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szCs w:val="20"/>
              </w:rPr>
              <w:t>trasporto</w:t>
            </w:r>
            <w:proofErr w:type="spellEnd"/>
            <w:r w:rsidRPr="00CC5071">
              <w:rPr>
                <w:rFonts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szCs w:val="20"/>
              </w:rPr>
              <w:t>persone</w:t>
            </w:r>
            <w:proofErr w:type="spellEnd"/>
            <w:r w:rsidRPr="00CC5071">
              <w:rPr>
                <w:rFonts w:cs="Arial"/>
                <w:szCs w:val="20"/>
              </w:rPr>
              <w:t xml:space="preserve"> (</w:t>
            </w:r>
            <w:proofErr w:type="spellStart"/>
            <w:r w:rsidRPr="00CC5071">
              <w:rPr>
                <w:rFonts w:cs="Arial"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szCs w:val="20"/>
              </w:rPr>
              <w:t xml:space="preserve"> II di </w:t>
            </w:r>
            <w:proofErr w:type="spellStart"/>
            <w:r w:rsidRPr="00CC5071">
              <w:rPr>
                <w:rFonts w:cs="Arial"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szCs w:val="20"/>
              </w:rPr>
              <w:t>).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365210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  3,85%</w:t>
            </w:r>
          </w:p>
        </w:tc>
      </w:tr>
      <w:tr w:rsidR="00CC5071" w:rsidRPr="00CC5071" w14:paraId="4A522C20" w14:textId="77777777" w:rsidTr="00BA58A6">
        <w:trPr>
          <w:trHeight w:val="20"/>
          <w:jc w:val="center"/>
        </w:trPr>
        <w:tc>
          <w:tcPr>
            <w:tcW w:w="931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1777CEF5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  <w:r w:rsidRPr="00CC5071">
              <w:rPr>
                <w:rFonts w:eastAsia="Calibri" w:cs="Arial"/>
                <w:b/>
                <w:szCs w:val="20"/>
              </w:rPr>
              <w:t>BENE ASSICURAZIONI S.P.A.</w:t>
            </w:r>
          </w:p>
        </w:tc>
        <w:tc>
          <w:tcPr>
            <w:tcW w:w="31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4A4B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ATR senza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sinistri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e </w:t>
            </w:r>
            <w:proofErr w:type="spellStart"/>
            <w:r w:rsidRPr="00CC5071">
              <w:rPr>
                <w:rFonts w:cs="Arial"/>
                <w:bCs/>
                <w:szCs w:val="20"/>
              </w:rPr>
              <w:t>tutto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valorizzato</w:t>
            </w:r>
            <w:proofErr w:type="spellEnd"/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6E0F69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>9,76%</w:t>
            </w:r>
          </w:p>
        </w:tc>
      </w:tr>
      <w:tr w:rsidR="00CC5071" w:rsidRPr="00CC5071" w14:paraId="3115987E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4D73A090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A574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ATR senza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sinistri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e non </w:t>
            </w:r>
            <w:proofErr w:type="spellStart"/>
            <w:r w:rsidRPr="00CC5071">
              <w:rPr>
                <w:rFonts w:cs="Arial"/>
                <w:bCs/>
                <w:szCs w:val="20"/>
              </w:rPr>
              <w:t>tutto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valorizzato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4F379F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>8,13%</w:t>
            </w:r>
          </w:p>
        </w:tc>
      </w:tr>
      <w:tr w:rsidR="00CC5071" w:rsidRPr="00CC5071" w14:paraId="29040A18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2487E96D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B14C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ATR </w:t>
            </w:r>
            <w:proofErr w:type="spellStart"/>
            <w:r w:rsidRPr="00CC5071">
              <w:rPr>
                <w:rFonts w:cs="Arial"/>
                <w:bCs/>
                <w:szCs w:val="20"/>
              </w:rPr>
              <w:t>con</w:t>
            </w:r>
            <w:proofErr w:type="spellEnd"/>
            <w:r w:rsidRPr="00CC5071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Cs/>
                <w:szCs w:val="20"/>
              </w:rPr>
              <w:t>sinistri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287B04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>6,50%</w:t>
            </w:r>
          </w:p>
        </w:tc>
      </w:tr>
      <w:tr w:rsidR="00CC5071" w:rsidRPr="00CC5071" w14:paraId="6070BEBE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1B03F2B1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23E15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I di </w:t>
            </w:r>
            <w:proofErr w:type="spellStart"/>
            <w:r w:rsidRPr="00CC5071">
              <w:rPr>
                <w:rFonts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cs="Arial"/>
                <w:szCs w:val="20"/>
              </w:rPr>
              <w:t>veicoli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d’epoca</w:t>
            </w:r>
            <w:proofErr w:type="spellEnd"/>
            <w:r w:rsidRPr="00CC5071">
              <w:rPr>
                <w:rFonts w:cs="Arial"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szCs w:val="20"/>
              </w:rPr>
              <w:t>interesse</w:t>
            </w:r>
            <w:proofErr w:type="spellEnd"/>
            <w:r w:rsidRPr="00CC5071">
              <w:rPr>
                <w:rFonts w:cs="Arial"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storico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944D91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>12,20%</w:t>
            </w:r>
          </w:p>
        </w:tc>
      </w:tr>
      <w:tr w:rsidR="00CC5071" w:rsidRPr="00CC5071" w14:paraId="7658EC1E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60526932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8BC3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IV di </w:t>
            </w:r>
            <w:proofErr w:type="spellStart"/>
            <w:r w:rsidRPr="00CC5071">
              <w:rPr>
                <w:rFonts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cs="Arial"/>
                <w:szCs w:val="20"/>
              </w:rPr>
              <w:t>autocarri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fino</w:t>
            </w:r>
            <w:proofErr w:type="spellEnd"/>
            <w:r w:rsidRPr="00CC5071">
              <w:rPr>
                <w:rFonts w:cs="Arial"/>
                <w:szCs w:val="20"/>
              </w:rPr>
              <w:t xml:space="preserve"> a 3,5 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F0A78F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8,13%</w:t>
            </w:r>
          </w:p>
        </w:tc>
      </w:tr>
      <w:tr w:rsidR="00CC5071" w:rsidRPr="00CC5071" w14:paraId="573D55A9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right w:val="nil"/>
            </w:tcBorders>
            <w:vAlign w:val="center"/>
          </w:tcPr>
          <w:p w14:paraId="4C672C90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7F48" w14:textId="77777777" w:rsidR="00CC5071" w:rsidRPr="00CC5071" w:rsidRDefault="00CC5071" w:rsidP="007933C0">
            <w:pPr>
              <w:spacing w:after="20"/>
              <w:contextualSpacing/>
              <w:rPr>
                <w:rFonts w:eastAsia="Calibri" w:cs="Arial"/>
                <w:b/>
                <w:szCs w:val="20"/>
              </w:rPr>
            </w:pPr>
            <w:proofErr w:type="spellStart"/>
            <w:r w:rsidRPr="00CC5071">
              <w:rPr>
                <w:rFonts w:cs="Arial"/>
                <w:b/>
                <w:szCs w:val="20"/>
              </w:rPr>
              <w:t>Settore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IV di </w:t>
            </w:r>
            <w:proofErr w:type="spellStart"/>
            <w:r w:rsidRPr="00CC5071">
              <w:rPr>
                <w:rFonts w:cs="Arial"/>
                <w:b/>
                <w:szCs w:val="20"/>
              </w:rPr>
              <w:t>tariffa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CC5071">
              <w:rPr>
                <w:rFonts w:cs="Arial"/>
                <w:szCs w:val="20"/>
              </w:rPr>
              <w:t>autocarri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szCs w:val="20"/>
              </w:rPr>
              <w:t>oltre</w:t>
            </w:r>
            <w:proofErr w:type="spellEnd"/>
            <w:r w:rsidRPr="00CC5071">
              <w:rPr>
                <w:rFonts w:cs="Arial"/>
                <w:b/>
                <w:szCs w:val="20"/>
              </w:rPr>
              <w:t xml:space="preserve"> </w:t>
            </w:r>
            <w:r w:rsidRPr="00CC5071">
              <w:rPr>
                <w:rFonts w:cs="Arial"/>
                <w:szCs w:val="20"/>
              </w:rPr>
              <w:t>3,5 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90C75F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 xml:space="preserve">   6,50%</w:t>
            </w:r>
          </w:p>
        </w:tc>
      </w:tr>
      <w:tr w:rsidR="00CC5071" w:rsidRPr="00CC5071" w14:paraId="49D8C19C" w14:textId="77777777" w:rsidTr="00BA58A6">
        <w:trPr>
          <w:trHeight w:val="20"/>
          <w:jc w:val="center"/>
        </w:trPr>
        <w:tc>
          <w:tcPr>
            <w:tcW w:w="931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670C1F8A" w14:textId="77777777" w:rsidR="00CC5071" w:rsidRPr="00CC5071" w:rsidRDefault="00CC5071" w:rsidP="007933C0">
            <w:pPr>
              <w:spacing w:after="20"/>
              <w:contextualSpacing/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722E798" w14:textId="77777777" w:rsidR="00CC5071" w:rsidRPr="00CC5071" w:rsidRDefault="00CC5071" w:rsidP="007933C0">
            <w:pPr>
              <w:spacing w:after="20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r w:rsidRPr="00CC5071">
              <w:rPr>
                <w:rFonts w:cs="Arial"/>
                <w:b/>
                <w:bCs/>
                <w:szCs w:val="20"/>
              </w:rPr>
              <w:t>Altri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Settori</w:t>
            </w:r>
            <w:proofErr w:type="spellEnd"/>
            <w:r w:rsidRPr="00CC5071">
              <w:rPr>
                <w:rFonts w:cs="Arial"/>
                <w:b/>
                <w:bCs/>
                <w:szCs w:val="20"/>
              </w:rPr>
              <w:t xml:space="preserve"> di </w:t>
            </w:r>
            <w:proofErr w:type="spellStart"/>
            <w:r w:rsidRPr="00CC5071">
              <w:rPr>
                <w:rFonts w:cs="Arial"/>
                <w:b/>
                <w:bCs/>
                <w:szCs w:val="20"/>
              </w:rPr>
              <w:t>tariffa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1B92B9" w14:textId="77777777" w:rsidR="00CC5071" w:rsidRPr="00CC5071" w:rsidRDefault="00CC5071" w:rsidP="007933C0">
            <w:pPr>
              <w:widowControl w:val="0"/>
              <w:spacing w:after="20"/>
              <w:ind w:right="96"/>
              <w:jc w:val="center"/>
              <w:rPr>
                <w:rFonts w:cs="Arial"/>
                <w:b/>
                <w:szCs w:val="20"/>
              </w:rPr>
            </w:pPr>
            <w:r w:rsidRPr="00CC5071">
              <w:rPr>
                <w:rFonts w:cs="Arial"/>
                <w:b/>
                <w:szCs w:val="20"/>
              </w:rPr>
              <w:t>6,50%</w:t>
            </w:r>
          </w:p>
        </w:tc>
      </w:tr>
    </w:tbl>
    <w:p w14:paraId="1588C45C" w14:textId="33199E74" w:rsidR="00AA3A31" w:rsidRDefault="003A2714" w:rsidP="002D49E7">
      <w:pPr>
        <w:jc w:val="both"/>
        <w:rPr>
          <w:lang w:val="it-IT"/>
        </w:rPr>
      </w:pPr>
      <w:r>
        <w:rPr>
          <w:lang w:val="it-IT"/>
        </w:rPr>
        <w:t xml:space="preserve">* I livelli </w:t>
      </w:r>
      <w:proofErr w:type="spellStart"/>
      <w:r>
        <w:rPr>
          <w:lang w:val="it-IT"/>
        </w:rPr>
        <w:t>provvigionali</w:t>
      </w:r>
      <w:proofErr w:type="spellEnd"/>
      <w:r>
        <w:rPr>
          <w:lang w:val="it-IT"/>
        </w:rPr>
        <w:t xml:space="preserve"> indicati sono percepiti dall'intermediario in rapporto diretto con la Compagnia.</w:t>
      </w:r>
    </w:p>
    <w:p w14:paraId="78E08DD2" w14:textId="77777777" w:rsidR="002A495E" w:rsidRPr="003E2315" w:rsidRDefault="002A495E" w:rsidP="002D49E7">
      <w:pPr>
        <w:jc w:val="both"/>
        <w:rPr>
          <w:lang w:val="it-IT"/>
        </w:rPr>
      </w:pPr>
    </w:p>
    <w:p w14:paraId="1D6A3EE4" w14:textId="52E5D674" w:rsidR="00F9303F" w:rsidRPr="000C56E6" w:rsidRDefault="002A495E" w:rsidP="00F9303F">
      <w:pPr>
        <w:jc w:val="both"/>
        <w:rPr>
          <w:b/>
          <w:lang w:val="it-IT"/>
        </w:rPr>
      </w:pPr>
      <w:r>
        <w:rPr>
          <w:b/>
          <w:lang w:val="it-IT"/>
        </w:rPr>
        <w:t>Sezione IV</w:t>
      </w:r>
      <w:r w:rsidRPr="008249B2">
        <w:rPr>
          <w:b/>
          <w:lang w:val="it-IT"/>
        </w:rPr>
        <w:t xml:space="preserve"> – Informazioni </w:t>
      </w:r>
      <w:r>
        <w:rPr>
          <w:b/>
          <w:lang w:val="it-IT"/>
        </w:rPr>
        <w:t xml:space="preserve">sui pagamenti dei premi </w:t>
      </w:r>
    </w:p>
    <w:p w14:paraId="7C777786" w14:textId="77777777" w:rsidR="00103E13" w:rsidRPr="008249B2" w:rsidRDefault="00103E13" w:rsidP="002A495E">
      <w:pPr>
        <w:jc w:val="both"/>
        <w:rPr>
          <w:b/>
          <w:lang w:val="it-IT"/>
        </w:rPr>
      </w:pPr>
    </w:p>
    <w:p w14:paraId="53B3B95F" w14:textId="77777777" w:rsidR="000D660E" w:rsidRDefault="000D660E" w:rsidP="000D660E">
      <w:pPr>
        <w:jc w:val="both"/>
        <w:rPr>
          <w:lang w:val="it-IT"/>
        </w:rPr>
      </w:pPr>
      <w:r>
        <w:rPr>
          <w:lang w:val="it-IT"/>
        </w:rPr>
        <w:t>Con riferimento al p</w:t>
      </w:r>
      <w:r w:rsidRPr="0087356F">
        <w:rPr>
          <w:lang w:val="it-IT"/>
        </w:rPr>
        <w:t>agamento dei premi</w:t>
      </w:r>
      <w:r w:rsidRPr="002D49E7">
        <w:rPr>
          <w:lang w:val="it-IT"/>
        </w:rPr>
        <w:t>:</w:t>
      </w:r>
    </w:p>
    <w:p w14:paraId="30DB50BF" w14:textId="77777777" w:rsidR="000D660E" w:rsidRPr="00952DB4" w:rsidRDefault="000D660E" w:rsidP="000D660E">
      <w:pPr>
        <w:jc w:val="both"/>
        <w:rPr>
          <w:b/>
          <w:lang w:val="it-IT"/>
        </w:rPr>
      </w:pPr>
    </w:p>
    <w:p w14:paraId="68B5840E" w14:textId="77777777" w:rsidR="000D660E" w:rsidRDefault="000D660E" w:rsidP="000D660E">
      <w:pPr>
        <w:pStyle w:val="Paragrafoelenco"/>
        <w:jc w:val="both"/>
        <w:rPr>
          <w:lang w:val="it-IT"/>
        </w:rPr>
      </w:pPr>
      <w:r w:rsidRPr="002D49E7">
        <w:rPr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A098" wp14:editId="1A0E8F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182" cy="122830"/>
                <wp:effectExtent l="0" t="0" r="24765" b="107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8BB2BD" id="Rettangolo 6" o:spid="_x0000_s1026" style="position:absolute;margin-left:0;margin-top:0;width:8.6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kWmwIAAI0FAAAOAAAAZHJzL2Uyb0RvYy54bWysVEtv2zAMvg/YfxB0X/3oO6hTBC06DCja&#10;oO3QsypLsQFZ1CQlTvbrR0m2E7TFDsNyUEST/Ch+fFxdbztFNsK6FnRFi6OcEqE51K1eVfTny923&#10;C0qcZ7pmCrSo6E44ej3/+uWqNzNRQgOqFpYgiHaz3lS08d7MsszxRnTMHYERGpUSbMc8inaV1Zb1&#10;iN6prMzzs6wHWxsLXDiHX2+Tks4jvpSC+0cpnfBEVRTf5uNp4/kWzmx+xWYry0zT8uEZ7B9e0bFW&#10;Y9AJ6pZ5Rta2/QDVtdyCA+mPOHQZSNlyEXPAbIr8XTbPDTMi5oLkODPR5P4fLH/YLC1p64qeUaJZ&#10;hyV6Eh4LtgIF5Czw0xs3Q7Nns7SD5PAakt1K24V/TINsI6e7iVOx9YTjxyK/LC5KSjiqirK8OI6c&#10;Z3tnY53/LqAj4VJRiyWLTLLNvfMYEE1HkxBLw12rVCyb0qSv6HFxfhodHKi2DspgFhtI3ChLNgxL&#10;77dFSAWxDqxQUho/hgRTSvHmd0oECKWfhERqMIkyBQhNucdknAvti6RqWC1SqNMcf2Ow0SOGjoAB&#10;WeIjJ+wBYLRMICN2evNgH1xF7OnJOf/bw5Lz5BEjg/aTc9dqsJ8BKMxqiJzsR5ISNYGlN6h32DgW&#10;0kQ5w+9arN89c37JLI4QDhuuBf+Ih1SAdYLhRkkD9vdn34M9djZqKelxJCvqfq2ZFZSoHxp7/rI4&#10;OQkzHIWT0/MSBXuoeTvU6HV3A1j6AheQ4fEa7L0ar9JC94rbYxGiooppjrEryr0dhRufVgXuHy4W&#10;i2iGc2uYv9fPhgfwwGroz5ftK7NmaGKP3f8A4/iy2bteTrbBU8Ni7UG2sdH3vA5848zHxhn2U1gq&#10;h3K02m/R+R8AAAD//wMAUEsDBBQABgAIAAAAIQAwrA+p2QAAAAMBAAAPAAAAZHJzL2Rvd25yZXYu&#10;eG1sTI/NTsNADITvSLzDykhcEN1QflpCNhVCyhWJUtGrmzVJIPZG2U2TvD1bLnDxyBpr5nO2mbhV&#10;R+p948TAzSIBRVI620hlYPdeXK9B+YBisXVCBmbysMnPzzJMrRvljY7bUKkYIj5FA3UIXaq1L2ti&#10;9AvXkUTv0/WMIa59pW2PYwznVi+T5EEzNhIbauzopabyezuwgbu9v/pYv+o5Cbz7Yp6L+2EsjLm8&#10;mJ6fQAWawt8xnPAjOuSR6eAGsV61BuIj4XeevNUS1CHq4y3oPNP/2fMfAAAA//8DAFBLAQItABQA&#10;BgAIAAAAIQC2gziS/gAAAOEBAAATAAAAAAAAAAAAAAAAAAAAAABbQ29udGVudF9UeXBlc10ueG1s&#10;UEsBAi0AFAAGAAgAAAAhADj9If/WAAAAlAEAAAsAAAAAAAAAAAAAAAAALwEAAF9yZWxzLy5yZWxz&#10;UEsBAi0AFAAGAAgAAAAhAELTWRabAgAAjQUAAA4AAAAAAAAAAAAAAAAALgIAAGRycy9lMm9Eb2Mu&#10;eG1sUEsBAi0AFAAGAAgAAAAhADCsD6nZAAAAAwEAAA8AAAAAAAAAAAAAAAAA9QQAAGRycy9kb3du&#10;cmV2LnhtbFBLBQYAAAAABAAEAPMAAAD7BQAAAAA=&#10;" filled="f" strokecolor="black [3213]" strokeweight=".25pt"/>
            </w:pict>
          </mc:Fallback>
        </mc:AlternateContent>
      </w:r>
      <w:r>
        <w:rPr>
          <w:lang w:val="it-IT"/>
        </w:rPr>
        <w:t xml:space="preserve">che i premi pagati dal contraente all'intermediario </w:t>
      </w:r>
      <w:r w:rsidRPr="00952DB4">
        <w:rPr>
          <w:lang w:val="it-IT"/>
        </w:rPr>
        <w:t>e le somme destinate ai risarcimenti o ai pagamenti dovuti dalle imprese, se regolati per il tramite dell'intermediario</w:t>
      </w:r>
      <w:r>
        <w:rPr>
          <w:lang w:val="it-IT"/>
        </w:rPr>
        <w:t xml:space="preserve"> stesso</w:t>
      </w:r>
      <w:r w:rsidRPr="00952DB4">
        <w:rPr>
          <w:lang w:val="it-IT"/>
        </w:rPr>
        <w:t xml:space="preserve">, costituiscono patrimonio autonomo e separato </w:t>
      </w:r>
      <w:r>
        <w:rPr>
          <w:lang w:val="it-IT"/>
        </w:rPr>
        <w:t>rispetto a quello dell'intermediario stesso;</w:t>
      </w:r>
    </w:p>
    <w:p w14:paraId="1697F0AB" w14:textId="77777777" w:rsidR="000D660E" w:rsidRDefault="000D660E" w:rsidP="000D660E">
      <w:pPr>
        <w:pStyle w:val="Paragrafoelenco"/>
        <w:jc w:val="both"/>
        <w:rPr>
          <w:lang w:val="it-IT"/>
        </w:rPr>
      </w:pPr>
    </w:p>
    <w:p w14:paraId="4D3D1F03" w14:textId="714C30E7" w:rsidR="000D660E" w:rsidRDefault="000D660E" w:rsidP="000D660E">
      <w:pPr>
        <w:ind w:left="705"/>
        <w:jc w:val="both"/>
        <w:rPr>
          <w:lang w:val="it-IT"/>
        </w:rPr>
      </w:pPr>
      <w:r>
        <w:rPr>
          <w:lang w:val="it-IT"/>
        </w:rPr>
        <w:t>Le modalità di pagamento ammessi sono:</w:t>
      </w:r>
    </w:p>
    <w:p w14:paraId="51C2E160" w14:textId="4759A802" w:rsidR="000D660E" w:rsidRPr="000D660E" w:rsidRDefault="000D660E" w:rsidP="000D660E">
      <w:pPr>
        <w:ind w:left="705"/>
        <w:jc w:val="both"/>
        <w:rPr>
          <w:lang w:val="it-IT"/>
        </w:rPr>
      </w:pPr>
      <w:r>
        <w:rPr>
          <w:lang w:val="it-IT"/>
        </w:rPr>
        <w:t>1</w:t>
      </w:r>
      <w:r w:rsidRPr="000D660E">
        <w:rPr>
          <w:lang w:val="it-IT"/>
        </w:rPr>
        <w:t>.assegni bancari, postali o circolari, muniti della clausola di non trasferibilità, intestati o girati all’impresa</w:t>
      </w:r>
      <w:r>
        <w:rPr>
          <w:lang w:val="it-IT"/>
        </w:rPr>
        <w:t xml:space="preserve"> di</w:t>
      </w:r>
      <w:r w:rsidRPr="000D660E">
        <w:rPr>
          <w:lang w:val="it-IT"/>
        </w:rPr>
        <w:t xml:space="preserve"> assicurazione oppure all’intermediario, espressamente in tale qualità;</w:t>
      </w:r>
    </w:p>
    <w:p w14:paraId="3C4CF645" w14:textId="1B6FC98D" w:rsidR="000D660E" w:rsidRPr="000D660E" w:rsidRDefault="000D660E" w:rsidP="000D660E">
      <w:pPr>
        <w:ind w:left="705"/>
        <w:jc w:val="both"/>
        <w:rPr>
          <w:lang w:val="it-IT"/>
        </w:rPr>
      </w:pPr>
      <w:r w:rsidRPr="000D660E">
        <w:rPr>
          <w:lang w:val="it-IT"/>
        </w:rPr>
        <w:t>2. ordini di bonifico, altri mezzi di pagamento bancario o postale, inclusi gli stru</w:t>
      </w:r>
      <w:r>
        <w:rPr>
          <w:lang w:val="it-IT"/>
        </w:rPr>
        <w:t>menti di pagamento elettronici,</w:t>
      </w:r>
      <w:r w:rsidRPr="000D660E">
        <w:rPr>
          <w:lang w:val="it-IT"/>
        </w:rPr>
        <w:t xml:space="preserve"> anche nella forma on line, che abbiano quale beneficiario uno dei soggetti indicati al precedente </w:t>
      </w:r>
      <w:r w:rsidRPr="00C142AB">
        <w:rPr>
          <w:lang w:val="it-IT"/>
        </w:rPr>
        <w:t>punto 1;</w:t>
      </w:r>
    </w:p>
    <w:p w14:paraId="6F907919" w14:textId="0D8852E0" w:rsidR="000D660E" w:rsidRDefault="000D660E" w:rsidP="000D660E">
      <w:pPr>
        <w:ind w:left="705"/>
        <w:jc w:val="both"/>
        <w:rPr>
          <w:lang w:val="it-IT"/>
        </w:rPr>
      </w:pPr>
      <w:r w:rsidRPr="000D660E">
        <w:rPr>
          <w:lang w:val="it-IT"/>
        </w:rPr>
        <w:t>3. denaro contante, esclusivamente per i contratti di assicurazione contro i danni del ramo responsabilità</w:t>
      </w:r>
      <w:r>
        <w:rPr>
          <w:lang w:val="it-IT"/>
        </w:rPr>
        <w:t xml:space="preserve"> civile </w:t>
      </w:r>
      <w:r w:rsidRPr="000D660E">
        <w:rPr>
          <w:lang w:val="it-IT"/>
        </w:rPr>
        <w:t>auto e relative garanzie accessorie (se ed in quanto riferite allo stesso veicolo assicurato</w:t>
      </w:r>
      <w:r w:rsidR="00C142AB">
        <w:rPr>
          <w:lang w:val="it-IT"/>
        </w:rPr>
        <w:t xml:space="preserve"> per la responsabilità</w:t>
      </w:r>
      <w:r w:rsidRPr="000D660E">
        <w:rPr>
          <w:lang w:val="it-IT"/>
        </w:rPr>
        <w:t xml:space="preserve"> civile auto), nonché per i contratti degli altri rami danni con il limite di settecentocinquanta</w:t>
      </w:r>
      <w:r>
        <w:rPr>
          <w:lang w:val="it-IT"/>
        </w:rPr>
        <w:t xml:space="preserve"> euro an</w:t>
      </w:r>
      <w:r w:rsidRPr="000D660E">
        <w:rPr>
          <w:lang w:val="it-IT"/>
        </w:rPr>
        <w:t>nui</w:t>
      </w:r>
      <w:r>
        <w:rPr>
          <w:lang w:val="it-IT"/>
        </w:rPr>
        <w:t xml:space="preserve"> per</w:t>
      </w:r>
      <w:r w:rsidRPr="000D660E">
        <w:rPr>
          <w:lang w:val="it-IT"/>
        </w:rPr>
        <w:t xml:space="preserve"> ciascun contratto.</w:t>
      </w:r>
    </w:p>
    <w:p w14:paraId="15EDDED0" w14:textId="61898BEE" w:rsidR="00103E13" w:rsidRDefault="00103E13" w:rsidP="000D660E">
      <w:pPr>
        <w:ind w:left="705"/>
        <w:jc w:val="both"/>
        <w:rPr>
          <w:lang w:val="it-IT"/>
        </w:rPr>
      </w:pPr>
    </w:p>
    <w:p w14:paraId="74CA1667" w14:textId="77777777" w:rsidR="00103E13" w:rsidRPr="000D660E" w:rsidRDefault="00103E13" w:rsidP="000D660E">
      <w:pPr>
        <w:ind w:left="705"/>
        <w:jc w:val="both"/>
        <w:rPr>
          <w:lang w:val="it-IT"/>
        </w:rPr>
      </w:pPr>
    </w:p>
    <w:p w14:paraId="793CE1D9" w14:textId="2CA8925F" w:rsidR="00916E56" w:rsidRPr="009C7171" w:rsidRDefault="00916E56" w:rsidP="002300DC">
      <w:pPr>
        <w:jc w:val="both"/>
        <w:rPr>
          <w:lang w:val="it-IT"/>
        </w:rPr>
      </w:pPr>
    </w:p>
    <w:sectPr w:rsidR="00916E56" w:rsidRPr="009C7171" w:rsidSect="00BD1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0EBDE" w14:textId="77777777" w:rsidR="00645FD4" w:rsidRDefault="00645FD4" w:rsidP="00645FD4">
      <w:pPr>
        <w:spacing w:after="0"/>
      </w:pPr>
      <w:r>
        <w:separator/>
      </w:r>
    </w:p>
  </w:endnote>
  <w:endnote w:type="continuationSeparator" w:id="0">
    <w:p w14:paraId="514E2660" w14:textId="77777777" w:rsidR="00645FD4" w:rsidRDefault="00645FD4" w:rsidP="00645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E209E" w14:textId="77777777" w:rsidR="00645FD4" w:rsidRDefault="00645F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2" w:type="dxa"/>
      <w:jc w:val="center"/>
      <w:tblBorders>
        <w:top w:val="double" w:sz="4" w:space="0" w:color="A6A6A6"/>
      </w:tblBorders>
      <w:tblCellMar>
        <w:top w:w="113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0942"/>
    </w:tblGrid>
    <w:tr w:rsidR="00645FD4" w:rsidRPr="00CE481A" w14:paraId="2AA2540A" w14:textId="77777777" w:rsidTr="007933C0">
      <w:trPr>
        <w:trHeight w:val="283"/>
        <w:jc w:val="center"/>
      </w:trPr>
      <w:tc>
        <w:tcPr>
          <w:tcW w:w="10942" w:type="dxa"/>
        </w:tcPr>
        <w:p w14:paraId="69BF360F" w14:textId="77777777" w:rsidR="00645FD4" w:rsidRPr="00232682" w:rsidRDefault="00645FD4" w:rsidP="00645FD4">
          <w:pPr>
            <w:pStyle w:val="Intestazioneepidipagina"/>
            <w:spacing w:line="276" w:lineRule="auto"/>
            <w:rPr>
              <w:color w:val="auto"/>
              <w:sz w:val="14"/>
              <w:szCs w:val="14"/>
            </w:rPr>
          </w:pPr>
          <w:r w:rsidRPr="00232682">
            <w:rPr>
              <w:color w:val="auto"/>
              <w:sz w:val="14"/>
              <w:szCs w:val="14"/>
            </w:rPr>
            <w:t xml:space="preserve">Centro Assicurativo Pavese Srl </w:t>
          </w:r>
          <w:r w:rsidRPr="00232682">
            <w:rPr>
              <w:color w:val="auto"/>
              <w:sz w:val="14"/>
              <w:szCs w:val="14"/>
            </w:rPr>
            <w:br/>
            <w:t xml:space="preserve">Iscrizione al RUI n. </w:t>
          </w:r>
          <w:hyperlink r:id="rId1" w:history="1">
            <w:r w:rsidRPr="00232682">
              <w:rPr>
                <w:color w:val="auto"/>
                <w:sz w:val="14"/>
                <w:szCs w:val="14"/>
              </w:rPr>
              <w:t>A</w:t>
            </w:r>
          </w:hyperlink>
          <w:hyperlink r:id="rId2" w:history="1">
            <w:r w:rsidRPr="00232682">
              <w:rPr>
                <w:color w:val="auto"/>
                <w:sz w:val="14"/>
                <w:szCs w:val="14"/>
              </w:rPr>
              <w:t>000183864</w:t>
            </w:r>
          </w:hyperlink>
        </w:p>
        <w:p w14:paraId="6789C047" w14:textId="77777777" w:rsidR="00645FD4" w:rsidRPr="00CE481A" w:rsidRDefault="00645FD4" w:rsidP="00645FD4">
          <w:pPr>
            <w:pStyle w:val="Intestazioneepidipagina"/>
            <w:spacing w:line="240" w:lineRule="auto"/>
            <w:rPr>
              <w:b w:val="0"/>
              <w:color w:val="auto"/>
              <w:sz w:val="16"/>
              <w:szCs w:val="16"/>
            </w:rPr>
          </w:pPr>
          <w:r w:rsidRPr="00232682">
            <w:rPr>
              <w:color w:val="auto"/>
              <w:sz w:val="14"/>
              <w:szCs w:val="14"/>
            </w:rPr>
            <w:t>Sede Legale e Operativa</w:t>
          </w:r>
          <w:r w:rsidRPr="00232682">
            <w:rPr>
              <w:b w:val="0"/>
              <w:color w:val="auto"/>
              <w:sz w:val="14"/>
              <w:szCs w:val="14"/>
            </w:rPr>
            <w:t xml:space="preserve"> via Marchesi 33, 27100 Pavia (PV) - </w:t>
          </w:r>
          <w:r w:rsidRPr="00232682">
            <w:rPr>
              <w:color w:val="auto"/>
              <w:sz w:val="14"/>
              <w:szCs w:val="14"/>
            </w:rPr>
            <w:t>Tel.</w:t>
          </w:r>
          <w:r w:rsidRPr="00232682">
            <w:rPr>
              <w:b w:val="0"/>
              <w:color w:val="auto"/>
              <w:sz w:val="14"/>
              <w:szCs w:val="14"/>
            </w:rPr>
            <w:t xml:space="preserve"> 0382 22052 - </w:t>
          </w:r>
          <w:r w:rsidRPr="00232682">
            <w:rPr>
              <w:color w:val="auto"/>
              <w:sz w:val="14"/>
              <w:szCs w:val="14"/>
            </w:rPr>
            <w:t xml:space="preserve">Fax </w:t>
          </w:r>
          <w:r w:rsidRPr="00232682">
            <w:rPr>
              <w:b w:val="0"/>
              <w:color w:val="auto"/>
              <w:sz w:val="14"/>
              <w:szCs w:val="14"/>
            </w:rPr>
            <w:t xml:space="preserve">0382 21277                                                                                                              - </w:t>
          </w:r>
          <w:r w:rsidRPr="00232682">
            <w:rPr>
              <w:color w:val="auto"/>
              <w:sz w:val="14"/>
              <w:szCs w:val="14"/>
            </w:rPr>
            <w:t xml:space="preserve">Indirizzo di posta elettronica </w:t>
          </w:r>
          <w:r w:rsidRPr="00232682">
            <w:rPr>
              <w:b w:val="0"/>
              <w:color w:val="auto"/>
              <w:sz w:val="14"/>
              <w:szCs w:val="14"/>
            </w:rPr>
            <w:t xml:space="preserve">maestri@pec.centroasspavese.it - </w:t>
          </w:r>
          <w:r w:rsidRPr="00232682">
            <w:rPr>
              <w:color w:val="auto"/>
              <w:sz w:val="14"/>
              <w:szCs w:val="14"/>
            </w:rPr>
            <w:t xml:space="preserve">Indirizzo internet </w:t>
          </w:r>
          <w:r w:rsidRPr="00232682">
            <w:rPr>
              <w:b w:val="0"/>
              <w:color w:val="auto"/>
              <w:sz w:val="14"/>
              <w:szCs w:val="14"/>
            </w:rPr>
            <w:t>www.centroasspavese.it</w:t>
          </w:r>
        </w:p>
      </w:tc>
    </w:tr>
  </w:tbl>
  <w:p w14:paraId="1E703146" w14:textId="77777777" w:rsidR="00645FD4" w:rsidRDefault="00645F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84AD" w14:textId="77777777" w:rsidR="00645FD4" w:rsidRDefault="00645F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07D6" w14:textId="77777777" w:rsidR="00645FD4" w:rsidRDefault="00645FD4" w:rsidP="00645FD4">
      <w:pPr>
        <w:spacing w:after="0"/>
      </w:pPr>
      <w:r>
        <w:separator/>
      </w:r>
    </w:p>
  </w:footnote>
  <w:footnote w:type="continuationSeparator" w:id="0">
    <w:p w14:paraId="56C95359" w14:textId="77777777" w:rsidR="00645FD4" w:rsidRDefault="00645FD4" w:rsidP="00645F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342E" w14:textId="77777777" w:rsidR="00645FD4" w:rsidRDefault="00645F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5285"/>
      <w:gridCol w:w="4353"/>
    </w:tblGrid>
    <w:tr w:rsidR="00645FD4" w:rsidRPr="00AA5B25" w14:paraId="271C6EED" w14:textId="77777777" w:rsidTr="007933C0">
      <w:trPr>
        <w:trHeight w:val="680"/>
      </w:trPr>
      <w:tc>
        <w:tcPr>
          <w:tcW w:w="5920" w:type="dxa"/>
          <w:vAlign w:val="center"/>
        </w:tcPr>
        <w:p w14:paraId="589331B4" w14:textId="77777777" w:rsidR="00645FD4" w:rsidRPr="00270663" w:rsidRDefault="00645FD4" w:rsidP="00645FD4">
          <w:pPr>
            <w:spacing w:before="60" w:line="276" w:lineRule="auto"/>
            <w:jc w:val="center"/>
            <w:rPr>
              <w:rFonts w:eastAsia="ヒラギノ角ゴ Pro W3" w:cs="Tahoma"/>
              <w:b/>
              <w:sz w:val="14"/>
              <w:szCs w:val="14"/>
            </w:rPr>
          </w:pPr>
          <w:proofErr w:type="spellStart"/>
          <w:r>
            <w:rPr>
              <w:rFonts w:eastAsia="ヒラギノ角ゴ Pro W3" w:cs="Tahoma"/>
              <w:b/>
              <w:sz w:val="14"/>
              <w:szCs w:val="14"/>
            </w:rPr>
            <w:t>Allegato</w:t>
          </w:r>
          <w:proofErr w:type="spellEnd"/>
          <w:r>
            <w:rPr>
              <w:rFonts w:eastAsia="ヒラギノ角ゴ Pro W3" w:cs="Tahoma"/>
              <w:b/>
              <w:sz w:val="14"/>
              <w:szCs w:val="14"/>
            </w:rPr>
            <w:t xml:space="preserve"> 4 </w:t>
          </w:r>
          <w:r w:rsidRPr="00270663">
            <w:rPr>
              <w:rFonts w:eastAsia="ヒラギノ角ゴ Pro W3" w:cs="Tahoma"/>
              <w:b/>
              <w:sz w:val="14"/>
              <w:szCs w:val="14"/>
            </w:rPr>
            <w:t>“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Informazioni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da Rendere al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Contraente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prima della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Sottoscrizione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della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Proposta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o,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qualora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non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previsto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, del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Contratto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 xml:space="preserve"> </w:t>
          </w:r>
          <w:proofErr w:type="spellStart"/>
          <w:r w:rsidRPr="00270663">
            <w:rPr>
              <w:rFonts w:eastAsia="ヒラギノ角ゴ Pro W3" w:cs="Tahoma"/>
              <w:b/>
              <w:sz w:val="14"/>
              <w:szCs w:val="14"/>
            </w:rPr>
            <w:t>Assicurativo</w:t>
          </w:r>
          <w:proofErr w:type="spellEnd"/>
          <w:r w:rsidRPr="00270663">
            <w:rPr>
              <w:rFonts w:eastAsia="ヒラギノ角ゴ Pro W3" w:cs="Tahoma"/>
              <w:b/>
              <w:sz w:val="14"/>
              <w:szCs w:val="14"/>
            </w:rPr>
            <w:t>”</w:t>
          </w:r>
        </w:p>
      </w:tc>
      <w:tc>
        <w:tcPr>
          <w:tcW w:w="4992" w:type="dxa"/>
        </w:tcPr>
        <w:p w14:paraId="21E69CDC" w14:textId="77777777" w:rsidR="00645FD4" w:rsidRPr="00AA5B25" w:rsidRDefault="00645FD4" w:rsidP="00645FD4">
          <w:pPr>
            <w:pStyle w:val="Intestazione"/>
            <w:rPr>
              <w:sz w:val="16"/>
              <w:szCs w:val="16"/>
            </w:rPr>
          </w:pPr>
        </w:p>
      </w:tc>
    </w:tr>
  </w:tbl>
  <w:p w14:paraId="08D84D1F" w14:textId="77777777" w:rsidR="00645FD4" w:rsidRPr="00CC31A2" w:rsidRDefault="00645FD4" w:rsidP="00645FD4">
    <w:pPr>
      <w:pStyle w:val="Intestazione"/>
      <w:rPr>
        <w:sz w:val="2"/>
        <w:szCs w:val="2"/>
      </w:rPr>
    </w:pPr>
  </w:p>
  <w:p w14:paraId="376AEE1E" w14:textId="77777777" w:rsidR="00645FD4" w:rsidRDefault="00645F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C9AC" w14:textId="77777777" w:rsidR="00645FD4" w:rsidRDefault="00645F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27"/>
    <w:multiLevelType w:val="hybridMultilevel"/>
    <w:tmpl w:val="977CF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54C6"/>
    <w:multiLevelType w:val="hybridMultilevel"/>
    <w:tmpl w:val="31003F6C"/>
    <w:lvl w:ilvl="0" w:tplc="63C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76D7D"/>
    <w:multiLevelType w:val="hybridMultilevel"/>
    <w:tmpl w:val="A3045654"/>
    <w:lvl w:ilvl="0" w:tplc="9E4C5D0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4C41AE"/>
    <w:multiLevelType w:val="hybridMultilevel"/>
    <w:tmpl w:val="56627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FF9"/>
    <w:multiLevelType w:val="hybridMultilevel"/>
    <w:tmpl w:val="1A64D94A"/>
    <w:lvl w:ilvl="0" w:tplc="775C8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FC8"/>
    <w:multiLevelType w:val="hybridMultilevel"/>
    <w:tmpl w:val="C102DFCC"/>
    <w:lvl w:ilvl="0" w:tplc="4B08CC5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57792B"/>
    <w:multiLevelType w:val="hybridMultilevel"/>
    <w:tmpl w:val="1980C6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E59"/>
    <w:multiLevelType w:val="hybridMultilevel"/>
    <w:tmpl w:val="515A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7A2"/>
    <w:multiLevelType w:val="hybridMultilevel"/>
    <w:tmpl w:val="8A6A7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5B33"/>
    <w:multiLevelType w:val="hybridMultilevel"/>
    <w:tmpl w:val="29286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9"/>
    <w:rsid w:val="00002561"/>
    <w:rsid w:val="00007800"/>
    <w:rsid w:val="00014E11"/>
    <w:rsid w:val="000279E5"/>
    <w:rsid w:val="00033D96"/>
    <w:rsid w:val="00041C46"/>
    <w:rsid w:val="00053C42"/>
    <w:rsid w:val="00053F22"/>
    <w:rsid w:val="00057B89"/>
    <w:rsid w:val="000626BA"/>
    <w:rsid w:val="0007207E"/>
    <w:rsid w:val="000730EA"/>
    <w:rsid w:val="000800E2"/>
    <w:rsid w:val="000912E7"/>
    <w:rsid w:val="000920BC"/>
    <w:rsid w:val="000A2F6D"/>
    <w:rsid w:val="000B39B2"/>
    <w:rsid w:val="000C4648"/>
    <w:rsid w:val="000C56E6"/>
    <w:rsid w:val="000C5990"/>
    <w:rsid w:val="000D2C10"/>
    <w:rsid w:val="000D352E"/>
    <w:rsid w:val="000D660E"/>
    <w:rsid w:val="000E5216"/>
    <w:rsid w:val="000E6CE5"/>
    <w:rsid w:val="000E7E64"/>
    <w:rsid w:val="000F11FB"/>
    <w:rsid w:val="000F6712"/>
    <w:rsid w:val="000F695B"/>
    <w:rsid w:val="000F6E30"/>
    <w:rsid w:val="00103E13"/>
    <w:rsid w:val="001041B7"/>
    <w:rsid w:val="00104229"/>
    <w:rsid w:val="00110296"/>
    <w:rsid w:val="00113DB4"/>
    <w:rsid w:val="00130102"/>
    <w:rsid w:val="00141363"/>
    <w:rsid w:val="00154978"/>
    <w:rsid w:val="00161CF6"/>
    <w:rsid w:val="00162054"/>
    <w:rsid w:val="0016303D"/>
    <w:rsid w:val="00166A71"/>
    <w:rsid w:val="0017155A"/>
    <w:rsid w:val="00173F6D"/>
    <w:rsid w:val="001775CC"/>
    <w:rsid w:val="00177C42"/>
    <w:rsid w:val="0018555B"/>
    <w:rsid w:val="00187462"/>
    <w:rsid w:val="00187828"/>
    <w:rsid w:val="00187C25"/>
    <w:rsid w:val="00190DF1"/>
    <w:rsid w:val="0019145F"/>
    <w:rsid w:val="001972F3"/>
    <w:rsid w:val="001A0C29"/>
    <w:rsid w:val="001B0936"/>
    <w:rsid w:val="001B258D"/>
    <w:rsid w:val="001B57D5"/>
    <w:rsid w:val="001B5F74"/>
    <w:rsid w:val="001C419A"/>
    <w:rsid w:val="001D66E3"/>
    <w:rsid w:val="001E0480"/>
    <w:rsid w:val="001E2D40"/>
    <w:rsid w:val="001E359E"/>
    <w:rsid w:val="001F5479"/>
    <w:rsid w:val="001F6E7D"/>
    <w:rsid w:val="00213AE4"/>
    <w:rsid w:val="002175BD"/>
    <w:rsid w:val="002219D1"/>
    <w:rsid w:val="002225F7"/>
    <w:rsid w:val="002300DC"/>
    <w:rsid w:val="00232A2F"/>
    <w:rsid w:val="002401F8"/>
    <w:rsid w:val="00253445"/>
    <w:rsid w:val="00260C7E"/>
    <w:rsid w:val="00263320"/>
    <w:rsid w:val="002656D3"/>
    <w:rsid w:val="00272667"/>
    <w:rsid w:val="00274222"/>
    <w:rsid w:val="002757E2"/>
    <w:rsid w:val="0028789D"/>
    <w:rsid w:val="00293CAB"/>
    <w:rsid w:val="002A0125"/>
    <w:rsid w:val="002A495E"/>
    <w:rsid w:val="002D0078"/>
    <w:rsid w:val="002D49E7"/>
    <w:rsid w:val="002E7E12"/>
    <w:rsid w:val="002F5B27"/>
    <w:rsid w:val="00304D90"/>
    <w:rsid w:val="00334535"/>
    <w:rsid w:val="00345AD7"/>
    <w:rsid w:val="00346B34"/>
    <w:rsid w:val="00352EA6"/>
    <w:rsid w:val="00380218"/>
    <w:rsid w:val="00392AF0"/>
    <w:rsid w:val="00396FE6"/>
    <w:rsid w:val="003A2714"/>
    <w:rsid w:val="003A3FF6"/>
    <w:rsid w:val="003A4C3B"/>
    <w:rsid w:val="003A5A00"/>
    <w:rsid w:val="003A77B1"/>
    <w:rsid w:val="003B235E"/>
    <w:rsid w:val="003B3342"/>
    <w:rsid w:val="003B5574"/>
    <w:rsid w:val="003C4035"/>
    <w:rsid w:val="003D0916"/>
    <w:rsid w:val="003D2E54"/>
    <w:rsid w:val="003D73E5"/>
    <w:rsid w:val="003E2315"/>
    <w:rsid w:val="003F0ECA"/>
    <w:rsid w:val="003F22E4"/>
    <w:rsid w:val="004002A8"/>
    <w:rsid w:val="00413CDA"/>
    <w:rsid w:val="00427D5A"/>
    <w:rsid w:val="00450FD9"/>
    <w:rsid w:val="004512B8"/>
    <w:rsid w:val="004606A0"/>
    <w:rsid w:val="00470E24"/>
    <w:rsid w:val="00471437"/>
    <w:rsid w:val="00474D2F"/>
    <w:rsid w:val="0048427A"/>
    <w:rsid w:val="00486E45"/>
    <w:rsid w:val="004959AA"/>
    <w:rsid w:val="004A1109"/>
    <w:rsid w:val="004B391C"/>
    <w:rsid w:val="004B5C96"/>
    <w:rsid w:val="004C1704"/>
    <w:rsid w:val="004C63C5"/>
    <w:rsid w:val="004D1226"/>
    <w:rsid w:val="004D1985"/>
    <w:rsid w:val="004D3A21"/>
    <w:rsid w:val="004D4F6C"/>
    <w:rsid w:val="004E255F"/>
    <w:rsid w:val="004E3AF0"/>
    <w:rsid w:val="004E4326"/>
    <w:rsid w:val="004F1CEF"/>
    <w:rsid w:val="00500555"/>
    <w:rsid w:val="005033B7"/>
    <w:rsid w:val="00510C77"/>
    <w:rsid w:val="00520568"/>
    <w:rsid w:val="005237F7"/>
    <w:rsid w:val="00534C4D"/>
    <w:rsid w:val="005471DC"/>
    <w:rsid w:val="00554F07"/>
    <w:rsid w:val="005563FC"/>
    <w:rsid w:val="005618F4"/>
    <w:rsid w:val="005651B0"/>
    <w:rsid w:val="00580664"/>
    <w:rsid w:val="005829ED"/>
    <w:rsid w:val="0058554E"/>
    <w:rsid w:val="005972DF"/>
    <w:rsid w:val="005A0C66"/>
    <w:rsid w:val="005A2618"/>
    <w:rsid w:val="005A51FD"/>
    <w:rsid w:val="005C0BC1"/>
    <w:rsid w:val="005C5D79"/>
    <w:rsid w:val="005D1006"/>
    <w:rsid w:val="005E3DC4"/>
    <w:rsid w:val="005E4475"/>
    <w:rsid w:val="005E531F"/>
    <w:rsid w:val="00600454"/>
    <w:rsid w:val="006015C5"/>
    <w:rsid w:val="00602CD9"/>
    <w:rsid w:val="00612DAA"/>
    <w:rsid w:val="00616B2F"/>
    <w:rsid w:val="00637EF3"/>
    <w:rsid w:val="00645FD4"/>
    <w:rsid w:val="00647FB0"/>
    <w:rsid w:val="00653348"/>
    <w:rsid w:val="00653729"/>
    <w:rsid w:val="00653F62"/>
    <w:rsid w:val="00667347"/>
    <w:rsid w:val="00671BFA"/>
    <w:rsid w:val="00673EE5"/>
    <w:rsid w:val="006879B8"/>
    <w:rsid w:val="00691EDF"/>
    <w:rsid w:val="006969D7"/>
    <w:rsid w:val="006A0F43"/>
    <w:rsid w:val="006B2363"/>
    <w:rsid w:val="006C24C3"/>
    <w:rsid w:val="006E6ED0"/>
    <w:rsid w:val="006F2528"/>
    <w:rsid w:val="006F5576"/>
    <w:rsid w:val="00700C4D"/>
    <w:rsid w:val="007039E6"/>
    <w:rsid w:val="00720D4E"/>
    <w:rsid w:val="00722210"/>
    <w:rsid w:val="007234DB"/>
    <w:rsid w:val="007267AD"/>
    <w:rsid w:val="0074528A"/>
    <w:rsid w:val="00756E1D"/>
    <w:rsid w:val="00756FBC"/>
    <w:rsid w:val="00762C69"/>
    <w:rsid w:val="00763D3B"/>
    <w:rsid w:val="00764A7C"/>
    <w:rsid w:val="00786E96"/>
    <w:rsid w:val="007B3166"/>
    <w:rsid w:val="007C1BBB"/>
    <w:rsid w:val="007C2470"/>
    <w:rsid w:val="007D26BC"/>
    <w:rsid w:val="007D49CC"/>
    <w:rsid w:val="007D4ABF"/>
    <w:rsid w:val="007F4777"/>
    <w:rsid w:val="007F6878"/>
    <w:rsid w:val="00802AA6"/>
    <w:rsid w:val="008045BA"/>
    <w:rsid w:val="008249B2"/>
    <w:rsid w:val="00831BD1"/>
    <w:rsid w:val="00835CCE"/>
    <w:rsid w:val="00836AEC"/>
    <w:rsid w:val="00837724"/>
    <w:rsid w:val="00843393"/>
    <w:rsid w:val="0084347F"/>
    <w:rsid w:val="00851152"/>
    <w:rsid w:val="008550A0"/>
    <w:rsid w:val="008573A2"/>
    <w:rsid w:val="0086780A"/>
    <w:rsid w:val="00867EE5"/>
    <w:rsid w:val="0087356F"/>
    <w:rsid w:val="00891C7D"/>
    <w:rsid w:val="008A2083"/>
    <w:rsid w:val="008B04C4"/>
    <w:rsid w:val="008B2A7D"/>
    <w:rsid w:val="008B5E7B"/>
    <w:rsid w:val="008C1CBA"/>
    <w:rsid w:val="008C23A4"/>
    <w:rsid w:val="008D1CB5"/>
    <w:rsid w:val="008D599D"/>
    <w:rsid w:val="008E09C4"/>
    <w:rsid w:val="008E0E57"/>
    <w:rsid w:val="008E2D6D"/>
    <w:rsid w:val="008E2E70"/>
    <w:rsid w:val="008E4358"/>
    <w:rsid w:val="008F1A1C"/>
    <w:rsid w:val="008F1E8F"/>
    <w:rsid w:val="008F7911"/>
    <w:rsid w:val="008F79A5"/>
    <w:rsid w:val="00901B10"/>
    <w:rsid w:val="009148E7"/>
    <w:rsid w:val="00916E56"/>
    <w:rsid w:val="00920BE6"/>
    <w:rsid w:val="00920CEE"/>
    <w:rsid w:val="0092396F"/>
    <w:rsid w:val="00934A2E"/>
    <w:rsid w:val="009365FB"/>
    <w:rsid w:val="00940FAD"/>
    <w:rsid w:val="009442FD"/>
    <w:rsid w:val="00952DB4"/>
    <w:rsid w:val="009541D3"/>
    <w:rsid w:val="009638C1"/>
    <w:rsid w:val="00965BA5"/>
    <w:rsid w:val="00965FCB"/>
    <w:rsid w:val="009733B8"/>
    <w:rsid w:val="00984271"/>
    <w:rsid w:val="00987CD5"/>
    <w:rsid w:val="00990491"/>
    <w:rsid w:val="009927B3"/>
    <w:rsid w:val="00996F76"/>
    <w:rsid w:val="00997809"/>
    <w:rsid w:val="009A16E0"/>
    <w:rsid w:val="009A35EA"/>
    <w:rsid w:val="009A701E"/>
    <w:rsid w:val="009B4A9C"/>
    <w:rsid w:val="009B740A"/>
    <w:rsid w:val="009C5477"/>
    <w:rsid w:val="009C69CC"/>
    <w:rsid w:val="009C7171"/>
    <w:rsid w:val="009D560A"/>
    <w:rsid w:val="009D63DB"/>
    <w:rsid w:val="009E0828"/>
    <w:rsid w:val="009E1B57"/>
    <w:rsid w:val="009E798E"/>
    <w:rsid w:val="009F095B"/>
    <w:rsid w:val="009F5BA0"/>
    <w:rsid w:val="009F6C7E"/>
    <w:rsid w:val="00A02056"/>
    <w:rsid w:val="00A075A4"/>
    <w:rsid w:val="00A1555E"/>
    <w:rsid w:val="00A15B5D"/>
    <w:rsid w:val="00A23C53"/>
    <w:rsid w:val="00A3100A"/>
    <w:rsid w:val="00A32A0D"/>
    <w:rsid w:val="00A56037"/>
    <w:rsid w:val="00A605CA"/>
    <w:rsid w:val="00A62DD6"/>
    <w:rsid w:val="00A741C2"/>
    <w:rsid w:val="00A946A2"/>
    <w:rsid w:val="00A953A8"/>
    <w:rsid w:val="00AA2D47"/>
    <w:rsid w:val="00AA3A31"/>
    <w:rsid w:val="00AA5606"/>
    <w:rsid w:val="00AA74A6"/>
    <w:rsid w:val="00AC127E"/>
    <w:rsid w:val="00AC5A5B"/>
    <w:rsid w:val="00AF0EC7"/>
    <w:rsid w:val="00B02C2F"/>
    <w:rsid w:val="00B036BD"/>
    <w:rsid w:val="00B03E98"/>
    <w:rsid w:val="00B10C51"/>
    <w:rsid w:val="00B10F53"/>
    <w:rsid w:val="00B304B0"/>
    <w:rsid w:val="00B33C2E"/>
    <w:rsid w:val="00B37124"/>
    <w:rsid w:val="00B41EE4"/>
    <w:rsid w:val="00B46473"/>
    <w:rsid w:val="00B52C8E"/>
    <w:rsid w:val="00B62B23"/>
    <w:rsid w:val="00B71103"/>
    <w:rsid w:val="00B74705"/>
    <w:rsid w:val="00B974D6"/>
    <w:rsid w:val="00BA0624"/>
    <w:rsid w:val="00BA0679"/>
    <w:rsid w:val="00BA3097"/>
    <w:rsid w:val="00BA58A6"/>
    <w:rsid w:val="00BD1AB7"/>
    <w:rsid w:val="00BD439A"/>
    <w:rsid w:val="00BE15BF"/>
    <w:rsid w:val="00BE2C98"/>
    <w:rsid w:val="00BF39BB"/>
    <w:rsid w:val="00C01CC8"/>
    <w:rsid w:val="00C043B0"/>
    <w:rsid w:val="00C142AB"/>
    <w:rsid w:val="00C26EF4"/>
    <w:rsid w:val="00C27851"/>
    <w:rsid w:val="00C310F2"/>
    <w:rsid w:val="00C32C3B"/>
    <w:rsid w:val="00C52506"/>
    <w:rsid w:val="00C6544B"/>
    <w:rsid w:val="00C67A6F"/>
    <w:rsid w:val="00C825E6"/>
    <w:rsid w:val="00C830F2"/>
    <w:rsid w:val="00C8729F"/>
    <w:rsid w:val="00C95238"/>
    <w:rsid w:val="00C95965"/>
    <w:rsid w:val="00CA6F0C"/>
    <w:rsid w:val="00CB28B7"/>
    <w:rsid w:val="00CC5071"/>
    <w:rsid w:val="00CC623C"/>
    <w:rsid w:val="00CE2E31"/>
    <w:rsid w:val="00CE7E5B"/>
    <w:rsid w:val="00CF093B"/>
    <w:rsid w:val="00CF1136"/>
    <w:rsid w:val="00CF2E43"/>
    <w:rsid w:val="00CF7EB5"/>
    <w:rsid w:val="00D102A1"/>
    <w:rsid w:val="00D15107"/>
    <w:rsid w:val="00D24A3B"/>
    <w:rsid w:val="00D26B02"/>
    <w:rsid w:val="00D302DB"/>
    <w:rsid w:val="00D45373"/>
    <w:rsid w:val="00D5235B"/>
    <w:rsid w:val="00D54193"/>
    <w:rsid w:val="00D569F0"/>
    <w:rsid w:val="00D8154C"/>
    <w:rsid w:val="00D82FB6"/>
    <w:rsid w:val="00D9183B"/>
    <w:rsid w:val="00D92408"/>
    <w:rsid w:val="00D92490"/>
    <w:rsid w:val="00D94001"/>
    <w:rsid w:val="00D94161"/>
    <w:rsid w:val="00DA7A7D"/>
    <w:rsid w:val="00DA7AB9"/>
    <w:rsid w:val="00DB0F83"/>
    <w:rsid w:val="00DC4278"/>
    <w:rsid w:val="00DC575C"/>
    <w:rsid w:val="00DC68A3"/>
    <w:rsid w:val="00DD53E6"/>
    <w:rsid w:val="00DE7527"/>
    <w:rsid w:val="00DF1EF5"/>
    <w:rsid w:val="00E010EA"/>
    <w:rsid w:val="00E01E7F"/>
    <w:rsid w:val="00E04B11"/>
    <w:rsid w:val="00E07817"/>
    <w:rsid w:val="00E10F7E"/>
    <w:rsid w:val="00E10FE5"/>
    <w:rsid w:val="00E17543"/>
    <w:rsid w:val="00E22A2E"/>
    <w:rsid w:val="00E22CD5"/>
    <w:rsid w:val="00E23AE7"/>
    <w:rsid w:val="00E46C69"/>
    <w:rsid w:val="00E5186D"/>
    <w:rsid w:val="00E5501E"/>
    <w:rsid w:val="00E55335"/>
    <w:rsid w:val="00E6375D"/>
    <w:rsid w:val="00E6574A"/>
    <w:rsid w:val="00E66126"/>
    <w:rsid w:val="00EA71C8"/>
    <w:rsid w:val="00EA7B62"/>
    <w:rsid w:val="00EB1751"/>
    <w:rsid w:val="00ED2D01"/>
    <w:rsid w:val="00ED4A61"/>
    <w:rsid w:val="00ED5165"/>
    <w:rsid w:val="00ED6AE8"/>
    <w:rsid w:val="00F14885"/>
    <w:rsid w:val="00F21C6B"/>
    <w:rsid w:val="00F22822"/>
    <w:rsid w:val="00F316EE"/>
    <w:rsid w:val="00F35B49"/>
    <w:rsid w:val="00F40342"/>
    <w:rsid w:val="00F477E7"/>
    <w:rsid w:val="00F51311"/>
    <w:rsid w:val="00F623C2"/>
    <w:rsid w:val="00F805E4"/>
    <w:rsid w:val="00F815BB"/>
    <w:rsid w:val="00F912B4"/>
    <w:rsid w:val="00F9303F"/>
    <w:rsid w:val="00FA04CA"/>
    <w:rsid w:val="00FA3082"/>
    <w:rsid w:val="00FA4ED8"/>
    <w:rsid w:val="00FA727B"/>
    <w:rsid w:val="00FB08F0"/>
    <w:rsid w:val="00FB27B9"/>
    <w:rsid w:val="00FC420D"/>
    <w:rsid w:val="00FC562C"/>
    <w:rsid w:val="00FE564E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6FA1"/>
  <w15:chartTrackingRefBased/>
  <w15:docId w15:val="{672E35AC-28D0-4A9C-8FA3-075137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CC8"/>
    <w:pPr>
      <w:spacing w:after="60" w:line="240" w:lineRule="auto"/>
    </w:pPr>
    <w:rPr>
      <w:rFonts w:ascii="Arial" w:hAnsi="Arial"/>
      <w:sz w:val="20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C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2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9"/>
    <w:rPr>
      <w:rFonts w:ascii="Segoe UI" w:hAnsi="Segoe UI" w:cs="Segoe UI"/>
      <w:sz w:val="18"/>
      <w:szCs w:val="18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1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171"/>
    <w:rPr>
      <w:rFonts w:ascii="Arial" w:hAnsi="Arial"/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71"/>
    <w:rPr>
      <w:rFonts w:ascii="Arial" w:hAnsi="Arial"/>
      <w:b/>
      <w:bCs/>
      <w:sz w:val="20"/>
      <w:szCs w:val="20"/>
      <w:lang w:val="de-CH"/>
    </w:rPr>
  </w:style>
  <w:style w:type="paragraph" w:styleId="Revisione">
    <w:name w:val="Revision"/>
    <w:hidden/>
    <w:uiPriority w:val="99"/>
    <w:semiHidden/>
    <w:rsid w:val="003E2315"/>
    <w:pPr>
      <w:spacing w:after="0" w:line="240" w:lineRule="auto"/>
    </w:pPr>
    <w:rPr>
      <w:rFonts w:ascii="Arial" w:hAnsi="Arial"/>
      <w:sz w:val="20"/>
      <w:lang w:val="de-CH"/>
    </w:rPr>
  </w:style>
  <w:style w:type="paragraph" w:styleId="Intestazione">
    <w:name w:val="header"/>
    <w:basedOn w:val="Normale"/>
    <w:link w:val="IntestazioneCarattere"/>
    <w:unhideWhenUsed/>
    <w:rsid w:val="00645FD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645FD4"/>
    <w:rPr>
      <w:rFonts w:ascii="Arial" w:hAnsi="Arial"/>
      <w:sz w:val="20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645FD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D4"/>
    <w:rPr>
      <w:rFonts w:ascii="Arial" w:hAnsi="Arial"/>
      <w:sz w:val="20"/>
      <w:lang w:val="de-CH"/>
    </w:rPr>
  </w:style>
  <w:style w:type="paragraph" w:customStyle="1" w:styleId="Intestazioneepidipagina">
    <w:name w:val="Intestazione e piè di pagina"/>
    <w:autoRedefine/>
    <w:rsid w:val="00645FD4"/>
    <w:pPr>
      <w:tabs>
        <w:tab w:val="right" w:pos="9632"/>
        <w:tab w:val="left" w:pos="9921"/>
        <w:tab w:val="left" w:pos="10630"/>
      </w:tabs>
      <w:spacing w:after="0" w:line="360" w:lineRule="auto"/>
      <w:jc w:val="center"/>
    </w:pPr>
    <w:rPr>
      <w:rFonts w:ascii="Tahoma" w:eastAsia="ヒラギノ角ゴ Pro W3" w:hAnsi="Tahoma" w:cs="Tahoma"/>
      <w:b/>
      <w:color w:val="00144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siv.isvap.it/RUI/RuirPubblica/" TargetMode="External"/><Relationship Id="rId1" Type="http://schemas.openxmlformats.org/officeDocument/2006/relationships/hyperlink" Target="https://nsiv.isvap.it/RUI/RuirPubbl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97AB-312B-458B-A951-726EF161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IT0014L</dc:creator>
  <cp:keywords/>
  <dc:description/>
  <cp:lastModifiedBy>work08</cp:lastModifiedBy>
  <cp:revision>3</cp:revision>
  <cp:lastPrinted>2021-03-31T13:18:00Z</cp:lastPrinted>
  <dcterms:created xsi:type="dcterms:W3CDTF">2021-03-31T13:37:00Z</dcterms:created>
  <dcterms:modified xsi:type="dcterms:W3CDTF">2021-03-31T13:40:00Z</dcterms:modified>
</cp:coreProperties>
</file>